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宋体" w:hAnsi="宋体" w:eastAsia="方正小标宋简体" w:cs="宋体"/>
          <w:bCs/>
          <w:color w:val="auto"/>
          <w:sz w:val="44"/>
          <w:szCs w:val="32"/>
        </w:rPr>
      </w:pPr>
      <w:r>
        <w:rPr>
          <w:rFonts w:hint="eastAsia" w:ascii="宋体" w:hAnsi="宋体" w:eastAsia="方正小标宋简体" w:cs="宋体"/>
          <w:bCs/>
          <w:color w:val="auto"/>
          <w:sz w:val="44"/>
          <w:szCs w:val="32"/>
        </w:rPr>
        <w:t>在职期间判处死刑、判处无期徒刑或有期徒刑刑期期满时达到国家法定退休年龄申请</w:t>
      </w:r>
    </w:p>
    <w:p>
      <w:pPr>
        <w:spacing w:line="600" w:lineRule="exact"/>
        <w:jc w:val="center"/>
        <w:rPr>
          <w:rFonts w:ascii="宋体" w:hAnsi="宋体" w:eastAsia="方正小标宋简体" w:cs="宋体"/>
          <w:bCs/>
          <w:color w:val="auto"/>
          <w:sz w:val="44"/>
          <w:szCs w:val="32"/>
        </w:rPr>
      </w:pPr>
      <w:r>
        <w:rPr>
          <w:rFonts w:hint="eastAsia" w:ascii="宋体" w:hAnsi="宋体" w:eastAsia="方正小标宋简体" w:cs="宋体"/>
          <w:bCs/>
          <w:color w:val="auto"/>
          <w:sz w:val="44"/>
          <w:szCs w:val="32"/>
        </w:rPr>
        <w:t>提取住房公积金办事指南</w:t>
      </w:r>
    </w:p>
    <w:p>
      <w:pPr>
        <w:spacing w:line="600" w:lineRule="exact"/>
        <w:jc w:val="center"/>
        <w:rPr>
          <w:rFonts w:ascii="宋体" w:hAnsi="宋体" w:eastAsia="方正小标宋简体" w:cs="宋体"/>
          <w:bCs/>
          <w:color w:val="auto"/>
          <w:sz w:val="44"/>
          <w:szCs w:val="32"/>
        </w:rPr>
      </w:pPr>
    </w:p>
    <w:p>
      <w:pPr>
        <w:spacing w:line="500" w:lineRule="exact"/>
        <w:ind w:firstLine="640" w:firstLineChars="200"/>
        <w:rPr>
          <w:rFonts w:ascii="宋体" w:hAnsi="宋体" w:eastAsia="仿宋_GB2312" w:cs="宋体"/>
          <w:color w:val="auto"/>
          <w:sz w:val="32"/>
          <w:szCs w:val="28"/>
        </w:rPr>
      </w:pPr>
      <w:r>
        <w:rPr>
          <w:rFonts w:hint="eastAsia" w:ascii="宋体" w:hAnsi="宋体" w:eastAsia="仿宋_GB2312" w:cs="宋体"/>
          <w:color w:val="auto"/>
          <w:sz w:val="32"/>
          <w:szCs w:val="28"/>
        </w:rPr>
        <w:t>北京住房公积金缴存人在职期间被判处死刑、判处无期徒刑或刑满时达到国家法定退休年龄的人员，在单位已办理住房公积金个人账户封存手续的情况下，可申请销户提取住房公积金。</w:t>
      </w:r>
    </w:p>
    <w:p>
      <w:pPr>
        <w:spacing w:line="500" w:lineRule="exact"/>
        <w:ind w:firstLine="643" w:firstLineChars="200"/>
        <w:rPr>
          <w:rFonts w:ascii="宋体" w:hAnsi="宋体" w:eastAsia="仿宋_GB2312" w:cs="宋体"/>
          <w:color w:val="auto"/>
          <w:sz w:val="32"/>
          <w:szCs w:val="28"/>
        </w:rPr>
      </w:pPr>
      <w:r>
        <w:rPr>
          <w:rFonts w:hint="eastAsia" w:ascii="宋体" w:hAnsi="宋体" w:eastAsia="仿宋_GB2312" w:cs="宋体"/>
          <w:b/>
          <w:color w:val="auto"/>
          <w:sz w:val="32"/>
          <w:szCs w:val="28"/>
        </w:rPr>
        <w:t>第一步，填写表格</w:t>
      </w:r>
    </w:p>
    <w:p>
      <w:pPr>
        <w:spacing w:line="500" w:lineRule="exact"/>
        <w:ind w:firstLine="640" w:firstLineChars="200"/>
        <w:rPr>
          <w:rFonts w:ascii="宋体" w:hAnsi="宋体" w:eastAsia="仿宋_GB2312" w:cs="宋体"/>
          <w:color w:val="auto"/>
          <w:sz w:val="32"/>
          <w:szCs w:val="28"/>
        </w:rPr>
      </w:pPr>
      <w:r>
        <w:rPr>
          <w:rFonts w:hint="eastAsia" w:ascii="仿宋_GB2312" w:hAnsi="宋体" w:eastAsia="仿宋_GB2312"/>
          <w:color w:val="auto"/>
          <w:sz w:val="32"/>
          <w:szCs w:val="32"/>
        </w:rPr>
        <w:t>按照样表填写</w:t>
      </w:r>
      <w:r>
        <w:rPr>
          <w:rFonts w:hint="eastAsia" w:ascii="宋体" w:hAnsi="宋体" w:eastAsia="仿宋_GB2312" w:cs="宋体"/>
          <w:color w:val="auto"/>
          <w:sz w:val="32"/>
          <w:szCs w:val="28"/>
        </w:rPr>
        <w:t>《特殊事项销户提取住房公积金申请表》</w:t>
      </w:r>
      <w:r>
        <w:rPr>
          <w:rFonts w:hint="eastAsia" w:ascii="仿宋_GB2312" w:hAnsi="宋体" w:eastAsia="仿宋_GB2312"/>
          <w:color w:val="auto"/>
          <w:sz w:val="32"/>
          <w:szCs w:val="32"/>
        </w:rPr>
        <w:t>(</w:t>
      </w:r>
      <w:r>
        <w:rPr>
          <w:rFonts w:hint="eastAsia" w:ascii="宋体" w:hAnsi="宋体" w:eastAsia="仿宋_GB2312" w:cs="宋体"/>
          <w:color w:val="auto"/>
          <w:sz w:val="32"/>
          <w:szCs w:val="28"/>
        </w:rPr>
        <w:t>住房公积金表113)</w:t>
      </w:r>
      <w:r>
        <w:rPr>
          <w:rFonts w:ascii="宋体" w:hAnsi="宋体" w:eastAsia="仿宋_GB2312" w:cs="宋体"/>
          <w:color w:val="auto"/>
          <w:sz w:val="32"/>
          <w:szCs w:val="28"/>
        </w:rPr>
        <w:t xml:space="preserve"> </w:t>
      </w:r>
    </w:p>
    <w:p>
      <w:pPr>
        <w:spacing w:line="500" w:lineRule="exact"/>
        <w:ind w:firstLine="643" w:firstLineChars="200"/>
        <w:rPr>
          <w:rFonts w:ascii="宋体" w:hAnsi="宋体" w:eastAsia="楷体_GB2312" w:cs="宋体"/>
          <w:color w:val="auto"/>
          <w:sz w:val="32"/>
          <w:szCs w:val="28"/>
        </w:rPr>
      </w:pPr>
      <w:r>
        <w:rPr>
          <w:rFonts w:hint="eastAsia" w:ascii="宋体" w:hAnsi="宋体" w:eastAsia="楷体_GB2312" w:cs="宋体"/>
          <w:b/>
          <w:color w:val="auto"/>
          <w:sz w:val="32"/>
          <w:szCs w:val="28"/>
        </w:rPr>
        <w:t>提示：</w:t>
      </w:r>
      <w:r>
        <w:rPr>
          <w:rFonts w:hint="eastAsia" w:ascii="宋体" w:hAnsi="宋体" w:eastAsia="楷体_GB2312" w:cs="宋体"/>
          <w:color w:val="auto"/>
          <w:sz w:val="32"/>
          <w:szCs w:val="28"/>
        </w:rPr>
        <w:t>“姓名”、“证件类型”、“证件号”、“手机号”应与申请人提供的证件所记载的信息一致。“缴存状态”必须为“封存”方可办理销户提取业务。“所在单位名称”为缴存人住房公积金账户所在单位。“联名卡或北京住房公积金管理中心规定银行的储蓄账户”为申请人银行账户信息，“联名卡卡号或北京住房公积金管理中心规定银行的储蓄账户账号”需为申请人本人的有效联名卡或北京住房公积金管理中心规定的银行卡。“联名卡开户银行及联名卡卡号”需为申请人本人的有效联名卡。“申请销户提取事项”勾选“在职期间判处死刑、判处无期徒刑或有期徒刑刑期期满时达到国家法定退休年龄”。“申请人签字”需为申请人本人签字并注明年月日。</w:t>
      </w:r>
    </w:p>
    <w:p>
      <w:pPr>
        <w:spacing w:line="500" w:lineRule="exact"/>
        <w:ind w:firstLine="643" w:firstLineChars="200"/>
        <w:rPr>
          <w:rFonts w:ascii="宋体" w:hAnsi="宋体" w:eastAsia="仿宋_GB2312" w:cs="宋体"/>
          <w:color w:val="auto"/>
          <w:sz w:val="32"/>
          <w:szCs w:val="28"/>
        </w:rPr>
      </w:pPr>
      <w:r>
        <w:rPr>
          <w:rFonts w:hint="eastAsia" w:ascii="宋体" w:hAnsi="宋体" w:eastAsia="仿宋_GB2312" w:cs="宋体"/>
          <w:b/>
          <w:color w:val="auto"/>
          <w:sz w:val="32"/>
          <w:szCs w:val="28"/>
        </w:rPr>
        <w:t>第二步，提供材料</w:t>
      </w:r>
    </w:p>
    <w:p>
      <w:pPr>
        <w:spacing w:line="500" w:lineRule="exact"/>
        <w:ind w:firstLine="640" w:firstLineChars="200"/>
        <w:rPr>
          <w:rFonts w:ascii="宋体" w:hAnsi="宋体" w:eastAsia="仿宋_GB2312" w:cs="宋体"/>
          <w:color w:val="auto"/>
          <w:sz w:val="32"/>
          <w:szCs w:val="28"/>
        </w:rPr>
      </w:pPr>
      <w:r>
        <w:rPr>
          <w:rFonts w:hint="eastAsia" w:ascii="宋体" w:hAnsi="宋体" w:eastAsia="仿宋_GB2312" w:cs="宋体"/>
          <w:color w:val="auto"/>
          <w:sz w:val="32"/>
          <w:szCs w:val="28"/>
        </w:rPr>
        <w:t>《特殊事项销户提取住房公积金申请表》</w:t>
      </w:r>
      <w:r>
        <w:rPr>
          <w:rFonts w:hint="eastAsia" w:ascii="仿宋_GB2312" w:hAnsi="宋体" w:eastAsia="仿宋_GB2312"/>
          <w:color w:val="auto"/>
          <w:sz w:val="32"/>
          <w:szCs w:val="32"/>
        </w:rPr>
        <w:t>(</w:t>
      </w:r>
      <w:r>
        <w:rPr>
          <w:rFonts w:hint="eastAsia" w:ascii="宋体" w:hAnsi="宋体" w:eastAsia="仿宋_GB2312" w:cs="宋体"/>
          <w:color w:val="auto"/>
          <w:sz w:val="32"/>
          <w:szCs w:val="28"/>
        </w:rPr>
        <w:t>住房公积金表113)一份、申请人身份证原件、人民法院判决书原件、委托他人提取其住房公积金的，另需提供委托书及受托人身份证原件。</w:t>
      </w:r>
    </w:p>
    <w:p>
      <w:pPr>
        <w:spacing w:line="500" w:lineRule="exact"/>
        <w:ind w:firstLine="643" w:firstLineChars="200"/>
        <w:rPr>
          <w:rFonts w:ascii="宋体" w:hAnsi="宋体" w:eastAsia="仿宋_GB2312" w:cs="宋体"/>
          <w:b/>
          <w:color w:val="auto"/>
          <w:sz w:val="32"/>
          <w:szCs w:val="28"/>
        </w:rPr>
      </w:pPr>
      <w:r>
        <w:rPr>
          <w:rFonts w:hint="eastAsia" w:ascii="宋体" w:hAnsi="宋体" w:eastAsia="仿宋_GB2312" w:cs="宋体"/>
          <w:b/>
          <w:color w:val="auto"/>
          <w:sz w:val="32"/>
          <w:szCs w:val="28"/>
          <w:shd w:val="clear" w:color="auto" w:fill="FFFFFF"/>
        </w:rPr>
        <w:t>第三步，</w:t>
      </w:r>
      <w:r>
        <w:rPr>
          <w:rFonts w:hint="eastAsia" w:ascii="宋体" w:hAnsi="宋体" w:eastAsia="仿宋_GB2312" w:cs="宋体"/>
          <w:b/>
          <w:color w:val="auto"/>
          <w:sz w:val="32"/>
          <w:szCs w:val="28"/>
        </w:rPr>
        <w:t>住房公积金柜台审核办理</w:t>
      </w:r>
    </w:p>
    <w:p>
      <w:pPr>
        <w:spacing w:line="500" w:lineRule="exact"/>
        <w:ind w:firstLine="640" w:firstLineChars="200"/>
        <w:rPr>
          <w:rFonts w:ascii="仿宋_GB2312" w:hAnsi="宋体" w:eastAsia="仿宋_GB2312" w:cs="Times New Roman"/>
          <w:color w:val="auto"/>
          <w:sz w:val="32"/>
          <w:szCs w:val="32"/>
        </w:rPr>
      </w:pPr>
      <w:r>
        <w:rPr>
          <w:rFonts w:hint="eastAsia" w:ascii="仿宋_GB2312" w:hAnsi="宋体" w:eastAsia="仿宋_GB2312"/>
          <w:color w:val="auto"/>
          <w:sz w:val="32"/>
          <w:szCs w:val="32"/>
        </w:rPr>
        <w:t>由经办人携带经办人</w:t>
      </w:r>
      <w:r>
        <w:rPr>
          <w:rFonts w:ascii="仿宋_GB2312" w:hAnsi="宋体" w:eastAsia="仿宋_GB2312"/>
          <w:color w:val="auto"/>
          <w:sz w:val="32"/>
          <w:szCs w:val="32"/>
        </w:rPr>
        <w:t>身份证原件</w:t>
      </w:r>
      <w:r>
        <w:rPr>
          <w:rFonts w:hint="eastAsia" w:ascii="仿宋_GB2312" w:hAnsi="宋体" w:eastAsia="仿宋_GB2312"/>
          <w:color w:val="auto"/>
          <w:sz w:val="32"/>
          <w:szCs w:val="32"/>
        </w:rPr>
        <w:t>及上述材料选择任意的管理部及受托银行代办点办理。</w:t>
      </w:r>
    </w:p>
    <w:p>
      <w:pPr>
        <w:spacing w:line="500" w:lineRule="exact"/>
        <w:ind w:firstLine="643" w:firstLineChars="200"/>
        <w:jc w:val="left"/>
        <w:rPr>
          <w:rFonts w:ascii="楷体_GB2312" w:hAnsi="宋体" w:eastAsia="仿宋_GB2312" w:cs="Times New Roman"/>
          <w:color w:val="auto"/>
          <w:sz w:val="32"/>
          <w:szCs w:val="32"/>
        </w:rPr>
      </w:pPr>
      <w:r>
        <w:rPr>
          <w:rFonts w:hint="eastAsia" w:ascii="楷体_GB2312" w:hAnsi="宋体" w:eastAsia="楷体_GB2312" w:cs="Times New Roman"/>
          <w:b/>
          <w:color w:val="auto"/>
          <w:sz w:val="32"/>
          <w:szCs w:val="32"/>
        </w:rPr>
        <w:t>提示：</w:t>
      </w:r>
      <w:r>
        <w:rPr>
          <w:rFonts w:hint="eastAsia" w:ascii="楷体_GB2312" w:hAnsi="宋体" w:eastAsia="楷体_GB2312"/>
          <w:color w:val="auto"/>
          <w:sz w:val="32"/>
          <w:szCs w:val="32"/>
        </w:rPr>
        <w:t>中共中央直属机关分中心、中央国家机关分中心、北京铁路分中心缴存的缴存人按照所在分中心规定办理。</w:t>
      </w:r>
      <w:r>
        <w:rPr>
          <w:rFonts w:hint="eastAsia" w:ascii="楷体_GB2312" w:hAnsi="宋体" w:eastAsia="楷体_GB2312" w:cs="Times New Roman"/>
          <w:color w:val="auto"/>
          <w:sz w:val="32"/>
          <w:szCs w:val="32"/>
        </w:rPr>
        <w:t>登录</w:t>
      </w:r>
      <w:r>
        <w:rPr>
          <w:rFonts w:hint="eastAsia" w:ascii="宋体" w:hAnsi="宋体" w:eastAsia="仿宋_GB2312" w:cs="宋体"/>
          <w:color w:val="auto"/>
          <w:sz w:val="32"/>
          <w:szCs w:val="28"/>
        </w:rPr>
        <w:t>北京住房公积金网（gjj.beijing.gov.cn）</w:t>
      </w:r>
      <w:r>
        <w:rPr>
          <w:rFonts w:hint="eastAsia" w:ascii="楷体_GB2312" w:hAnsi="宋体" w:eastAsia="楷体_GB2312" w:cs="Times New Roman"/>
          <w:color w:val="auto"/>
          <w:sz w:val="32"/>
          <w:szCs w:val="32"/>
        </w:rPr>
        <w:t>点击</w:t>
      </w:r>
      <w:r>
        <w:rPr>
          <w:rFonts w:hint="eastAsia" w:ascii="楷体_GB2312" w:hAnsi="宋体" w:eastAsia="楷体_GB2312"/>
          <w:color w:val="auto"/>
          <w:sz w:val="32"/>
          <w:szCs w:val="32"/>
        </w:rPr>
        <w:t>【经办网点】</w:t>
      </w:r>
      <w:r>
        <w:rPr>
          <w:rFonts w:hint="eastAsia" w:ascii="楷体_GB2312" w:hAnsi="宋体" w:eastAsia="楷体_GB2312" w:cs="Times New Roman"/>
          <w:color w:val="auto"/>
          <w:sz w:val="32"/>
          <w:szCs w:val="32"/>
        </w:rPr>
        <w:t>可查询分中心及经办网点地址。</w:t>
      </w:r>
    </w:p>
    <w:p>
      <w:pPr>
        <w:spacing w:line="500" w:lineRule="exact"/>
        <w:ind w:firstLine="643" w:firstLineChars="200"/>
        <w:jc w:val="left"/>
        <w:rPr>
          <w:rFonts w:ascii="宋体" w:hAnsi="宋体" w:eastAsia="宋体" w:cs="Times New Roman"/>
          <w:b/>
          <w:color w:val="auto"/>
          <w:sz w:val="32"/>
          <w:szCs w:val="28"/>
        </w:rPr>
      </w:pPr>
      <w:r>
        <w:rPr>
          <w:rFonts w:hint="eastAsia" w:ascii="宋体" w:hAnsi="宋体" w:eastAsia="宋体" w:cs="Times New Roman"/>
          <w:b/>
          <w:color w:val="auto"/>
          <w:sz w:val="32"/>
          <w:szCs w:val="28"/>
        </w:rPr>
        <w:t>办理依据</w:t>
      </w:r>
    </w:p>
    <w:p>
      <w:pPr>
        <w:spacing w:line="500" w:lineRule="exact"/>
        <w:ind w:firstLine="640" w:firstLineChars="200"/>
        <w:rPr>
          <w:rFonts w:ascii="仿宋_GB2312" w:hAnsi="Times New Roman" w:eastAsia="仿宋_GB2312"/>
          <w:color w:val="auto"/>
          <w:sz w:val="32"/>
          <w:szCs w:val="32"/>
        </w:rPr>
      </w:pPr>
      <w:r>
        <w:rPr>
          <w:rFonts w:hint="eastAsia" w:ascii="仿宋_GB2312" w:hAnsi="Times New Roman" w:eastAsia="仿宋_GB2312"/>
          <w:color w:val="auto"/>
          <w:sz w:val="32"/>
          <w:szCs w:val="32"/>
        </w:rPr>
        <w:t>1.《住房公积金管理条例》（中华人民共和国国务院第350号令）</w:t>
      </w:r>
    </w:p>
    <w:p>
      <w:pPr>
        <w:spacing w:line="500" w:lineRule="exact"/>
        <w:ind w:firstLine="640" w:firstLineChars="200"/>
        <w:rPr>
          <w:rFonts w:ascii="仿宋_GB2312" w:hAnsi="Times New Roman" w:eastAsia="仿宋_GB2312"/>
          <w:color w:val="auto"/>
          <w:sz w:val="32"/>
          <w:szCs w:val="32"/>
        </w:rPr>
      </w:pPr>
      <w:r>
        <w:rPr>
          <w:rFonts w:hint="eastAsia" w:ascii="仿宋_GB2312" w:hAnsi="Times New Roman" w:eastAsia="仿宋_GB2312"/>
          <w:color w:val="auto"/>
          <w:sz w:val="32"/>
          <w:szCs w:val="32"/>
        </w:rPr>
        <w:t>2.《北京市实施&lt;住房公积金管理条例&gt;若干规定》（北京市人民政府令第164号）</w:t>
      </w:r>
    </w:p>
    <w:p>
      <w:pPr>
        <w:spacing w:line="500" w:lineRule="exact"/>
        <w:ind w:firstLine="640" w:firstLineChars="200"/>
        <w:rPr>
          <w:rFonts w:ascii="宋体" w:hAnsi="宋体" w:eastAsia="仿宋_GB2312" w:cs="宋体"/>
          <w:color w:val="auto"/>
          <w:sz w:val="32"/>
          <w:szCs w:val="28"/>
        </w:rPr>
      </w:pPr>
      <w:r>
        <w:rPr>
          <w:rFonts w:ascii="宋体" w:hAnsi="宋体" w:eastAsia="仿宋_GB2312" w:cs="宋体"/>
          <w:color w:val="auto"/>
          <w:sz w:val="32"/>
          <w:szCs w:val="28"/>
        </w:rPr>
        <w:t>3</w:t>
      </w:r>
      <w:r>
        <w:rPr>
          <w:rFonts w:hint="eastAsia" w:ascii="宋体" w:hAnsi="宋体" w:eastAsia="仿宋_GB2312" w:cs="宋体"/>
          <w:color w:val="auto"/>
          <w:sz w:val="32"/>
          <w:szCs w:val="28"/>
        </w:rPr>
        <w:t>.《关于住房公积金管理若干具体问题的指导意见》（建金管[2005]5号）</w:t>
      </w:r>
    </w:p>
    <w:p>
      <w:pPr>
        <w:spacing w:line="500" w:lineRule="exact"/>
        <w:ind w:firstLine="640" w:firstLineChars="200"/>
        <w:rPr>
          <w:rFonts w:ascii="宋体" w:hAnsi="宋体" w:eastAsia="仿宋_GB2312" w:cs="宋体"/>
          <w:color w:val="auto"/>
          <w:sz w:val="32"/>
          <w:szCs w:val="28"/>
        </w:rPr>
      </w:pPr>
      <w:r>
        <w:rPr>
          <w:rFonts w:ascii="宋体" w:hAnsi="宋体" w:eastAsia="仿宋_GB2312" w:cs="宋体"/>
          <w:color w:val="auto"/>
          <w:sz w:val="32"/>
          <w:szCs w:val="28"/>
        </w:rPr>
        <w:t>4</w:t>
      </w:r>
      <w:r>
        <w:rPr>
          <w:rFonts w:hint="eastAsia" w:ascii="宋体" w:hAnsi="宋体" w:eastAsia="仿宋_GB2312" w:cs="宋体"/>
          <w:color w:val="auto"/>
          <w:sz w:val="32"/>
          <w:szCs w:val="28"/>
        </w:rPr>
        <w:t>.《北京住房公积金提取管理办法》（京房公积金管委会[2006]2号）</w:t>
      </w:r>
    </w:p>
    <w:p>
      <w:pPr>
        <w:spacing w:line="500" w:lineRule="exact"/>
        <w:ind w:firstLine="640" w:firstLineChars="200"/>
        <w:jc w:val="left"/>
        <w:rPr>
          <w:rFonts w:ascii="宋体" w:hAnsi="宋体" w:eastAsia="仿宋_GB2312" w:cs="宋体"/>
          <w:color w:val="auto"/>
          <w:sz w:val="32"/>
          <w:szCs w:val="28"/>
        </w:rPr>
      </w:pPr>
      <w:r>
        <w:rPr>
          <w:rFonts w:ascii="宋体" w:hAnsi="宋体" w:eastAsia="仿宋_GB2312" w:cs="宋体"/>
          <w:color w:val="auto"/>
          <w:sz w:val="32"/>
          <w:szCs w:val="28"/>
        </w:rPr>
        <w:t>5</w:t>
      </w:r>
      <w:r>
        <w:rPr>
          <w:rFonts w:hint="eastAsia" w:ascii="宋体" w:hAnsi="宋体" w:eastAsia="仿宋_GB2312" w:cs="宋体"/>
          <w:color w:val="auto"/>
          <w:sz w:val="32"/>
          <w:szCs w:val="28"/>
        </w:rPr>
        <w:t>.《北京住房公积金管理中心关于进一步改进服务加强住房公积金归集管理有关事项的通知》（京房公积金发[2017]58号）</w:t>
      </w:r>
    </w:p>
    <w:p>
      <w:pPr>
        <w:spacing w:line="500" w:lineRule="exact"/>
        <w:ind w:firstLine="640" w:firstLineChars="200"/>
        <w:jc w:val="left"/>
        <w:rPr>
          <w:rFonts w:ascii="宋体" w:hAnsi="宋体" w:eastAsia="仿宋_GB2312" w:cs="宋体"/>
          <w:color w:val="auto"/>
          <w:sz w:val="32"/>
          <w:szCs w:val="28"/>
        </w:rPr>
      </w:pPr>
      <w:r>
        <w:rPr>
          <w:rFonts w:hint="eastAsia" w:ascii="宋体" w:hAnsi="宋体" w:eastAsia="仿宋_GB2312" w:cs="宋体"/>
          <w:color w:val="auto"/>
          <w:sz w:val="32"/>
          <w:szCs w:val="28"/>
        </w:rPr>
        <w:t>6.《北京住房公积金管理中心关于落实放管服、优化营商环境提升住房公积金归集服务水平的通知》（京房公积金发[2018]52号）</w:t>
      </w:r>
    </w:p>
    <w:p>
      <w:pPr>
        <w:spacing w:line="500" w:lineRule="exact"/>
        <w:ind w:firstLine="643" w:firstLineChars="200"/>
        <w:jc w:val="left"/>
        <w:rPr>
          <w:rFonts w:ascii="宋体" w:hAnsi="宋体" w:eastAsia="宋体" w:cs="Times New Roman"/>
          <w:b/>
          <w:color w:val="auto"/>
          <w:sz w:val="32"/>
          <w:szCs w:val="28"/>
        </w:rPr>
      </w:pPr>
      <w:r>
        <w:rPr>
          <w:rFonts w:hint="eastAsia" w:ascii="宋体" w:hAnsi="宋体" w:eastAsia="宋体" w:cs="Times New Roman"/>
          <w:b/>
          <w:color w:val="auto"/>
          <w:sz w:val="32"/>
          <w:szCs w:val="28"/>
        </w:rPr>
        <w:t>办理流程</w:t>
      </w:r>
    </w:p>
    <w:p>
      <w:pPr>
        <w:spacing w:line="500" w:lineRule="exact"/>
        <w:ind w:firstLine="640" w:firstLineChars="200"/>
        <w:rPr>
          <w:rFonts w:ascii="宋体" w:hAnsi="宋体" w:eastAsia="仿宋_GB2312" w:cs="宋体"/>
          <w:color w:val="auto"/>
          <w:sz w:val="32"/>
          <w:szCs w:val="28"/>
        </w:rPr>
      </w:pPr>
      <w:r>
        <w:rPr>
          <w:rFonts w:hint="eastAsia" w:ascii="宋体" w:hAnsi="宋体" w:eastAsia="仿宋_GB2312"/>
          <w:color w:val="auto"/>
          <w:sz w:val="32"/>
          <w:szCs w:val="28"/>
        </w:rPr>
        <w:t>柜面办理：</w:t>
      </w:r>
      <w:r>
        <w:rPr>
          <w:rFonts w:hint="eastAsia" w:ascii="宋体" w:hAnsi="宋体" w:eastAsia="仿宋_GB2312" w:cs="宋体"/>
          <w:color w:val="auto"/>
          <w:sz w:val="32"/>
          <w:szCs w:val="28"/>
        </w:rPr>
        <w:t>提交材料 -&gt; 现场核验 -&gt; 现场办结。</w:t>
      </w:r>
    </w:p>
    <w:p>
      <w:pPr>
        <w:spacing w:line="500" w:lineRule="exact"/>
        <w:ind w:firstLine="643" w:firstLineChars="200"/>
        <w:jc w:val="left"/>
        <w:rPr>
          <w:rFonts w:ascii="宋体" w:hAnsi="宋体" w:eastAsia="宋体" w:cs="Times New Roman"/>
          <w:b/>
          <w:color w:val="auto"/>
          <w:sz w:val="32"/>
          <w:szCs w:val="28"/>
        </w:rPr>
      </w:pPr>
      <w:r>
        <w:rPr>
          <w:rFonts w:hint="eastAsia" w:ascii="宋体" w:hAnsi="宋体" w:eastAsia="宋体" w:cs="Times New Roman"/>
          <w:b/>
          <w:color w:val="auto"/>
          <w:sz w:val="32"/>
          <w:szCs w:val="28"/>
        </w:rPr>
        <w:t>申请条件</w:t>
      </w:r>
    </w:p>
    <w:p>
      <w:pPr>
        <w:spacing w:line="500" w:lineRule="exact"/>
        <w:ind w:firstLine="640" w:firstLineChars="200"/>
        <w:rPr>
          <w:rFonts w:ascii="宋体" w:hAnsi="宋体" w:eastAsia="仿宋_GB2312" w:cs="宋体"/>
          <w:color w:val="auto"/>
          <w:sz w:val="32"/>
          <w:szCs w:val="28"/>
        </w:rPr>
      </w:pPr>
      <w:r>
        <w:rPr>
          <w:rFonts w:hint="eastAsia" w:ascii="宋体" w:hAnsi="宋体" w:eastAsia="仿宋_GB2312" w:cs="宋体"/>
          <w:color w:val="auto"/>
          <w:sz w:val="32"/>
          <w:szCs w:val="28"/>
        </w:rPr>
        <w:t>在职期间被判处死刑、判处无期徒刑或刑满时达到国家法定退休年龄的人员。</w:t>
      </w:r>
    </w:p>
    <w:p>
      <w:pPr>
        <w:spacing w:line="500" w:lineRule="exact"/>
        <w:ind w:firstLine="643" w:firstLineChars="200"/>
        <w:jc w:val="left"/>
        <w:rPr>
          <w:rFonts w:ascii="宋体" w:hAnsi="宋体" w:eastAsia="宋体" w:cs="Times New Roman"/>
          <w:b/>
          <w:color w:val="auto"/>
          <w:sz w:val="32"/>
          <w:szCs w:val="28"/>
        </w:rPr>
      </w:pPr>
      <w:r>
        <w:rPr>
          <w:rFonts w:hint="eastAsia" w:ascii="宋体" w:hAnsi="宋体" w:eastAsia="宋体" w:cs="Times New Roman"/>
          <w:b/>
          <w:color w:val="auto"/>
          <w:sz w:val="32"/>
          <w:szCs w:val="28"/>
        </w:rPr>
        <w:t>办理材料</w:t>
      </w:r>
    </w:p>
    <w:p>
      <w:pPr>
        <w:spacing w:line="500" w:lineRule="exact"/>
        <w:ind w:firstLine="640" w:firstLineChars="200"/>
        <w:rPr>
          <w:rFonts w:ascii="宋体" w:hAnsi="宋体" w:eastAsia="仿宋_GB2312" w:cs="宋体"/>
          <w:color w:val="auto"/>
          <w:sz w:val="32"/>
          <w:szCs w:val="28"/>
        </w:rPr>
      </w:pPr>
      <w:r>
        <w:rPr>
          <w:rFonts w:hint="eastAsia" w:ascii="宋体" w:hAnsi="宋体" w:eastAsia="仿宋_GB2312" w:cs="宋体"/>
          <w:color w:val="auto"/>
          <w:sz w:val="32"/>
          <w:szCs w:val="28"/>
        </w:rPr>
        <w:t>1.《特殊事项销户提取住房公积金申请表》一份；</w:t>
      </w:r>
    </w:p>
    <w:p>
      <w:pPr>
        <w:spacing w:line="500" w:lineRule="exact"/>
        <w:ind w:firstLine="640" w:firstLineChars="200"/>
        <w:rPr>
          <w:rFonts w:ascii="宋体" w:hAnsi="宋体" w:eastAsia="仿宋_GB2312" w:cs="宋体"/>
          <w:color w:val="auto"/>
          <w:sz w:val="32"/>
          <w:szCs w:val="28"/>
        </w:rPr>
      </w:pPr>
      <w:r>
        <w:rPr>
          <w:rFonts w:hint="eastAsia" w:ascii="宋体" w:hAnsi="宋体" w:eastAsia="仿宋_GB2312" w:cs="宋体"/>
          <w:color w:val="auto"/>
          <w:sz w:val="32"/>
          <w:szCs w:val="28"/>
        </w:rPr>
        <w:t>2.申请人身份证原件；</w:t>
      </w:r>
    </w:p>
    <w:p>
      <w:pPr>
        <w:spacing w:line="500" w:lineRule="exact"/>
        <w:ind w:firstLine="640" w:firstLineChars="200"/>
        <w:rPr>
          <w:rFonts w:ascii="宋体" w:hAnsi="宋体" w:eastAsia="仿宋_GB2312" w:cs="宋体"/>
          <w:color w:val="auto"/>
          <w:sz w:val="32"/>
          <w:szCs w:val="28"/>
        </w:rPr>
      </w:pPr>
      <w:r>
        <w:rPr>
          <w:rFonts w:hint="eastAsia" w:ascii="宋体" w:hAnsi="宋体" w:eastAsia="仿宋_GB2312" w:cs="宋体"/>
          <w:color w:val="auto"/>
          <w:sz w:val="32"/>
          <w:szCs w:val="28"/>
        </w:rPr>
        <w:t>3.人民法院判决书原件；</w:t>
      </w:r>
    </w:p>
    <w:p>
      <w:pPr>
        <w:spacing w:line="500" w:lineRule="exact"/>
        <w:ind w:firstLine="640" w:firstLineChars="200"/>
        <w:rPr>
          <w:rFonts w:ascii="宋体" w:hAnsi="宋体" w:eastAsia="仿宋_GB2312" w:cs="宋体"/>
          <w:color w:val="auto"/>
          <w:sz w:val="32"/>
          <w:szCs w:val="28"/>
        </w:rPr>
      </w:pPr>
      <w:r>
        <w:rPr>
          <w:rFonts w:hint="eastAsia" w:ascii="宋体" w:hAnsi="宋体" w:eastAsia="仿宋_GB2312" w:cs="宋体"/>
          <w:color w:val="auto"/>
          <w:sz w:val="32"/>
          <w:szCs w:val="28"/>
        </w:rPr>
        <w:t>4.委托他人提取其住房公积金的，需另提供委托书原件及受托人身份证原件。</w:t>
      </w:r>
    </w:p>
    <w:p>
      <w:pPr>
        <w:spacing w:line="500" w:lineRule="exact"/>
        <w:ind w:firstLine="643" w:firstLineChars="200"/>
        <w:jc w:val="left"/>
        <w:rPr>
          <w:rFonts w:ascii="宋体" w:hAnsi="宋体" w:eastAsia="宋体" w:cs="Times New Roman"/>
          <w:b/>
          <w:color w:val="auto"/>
          <w:sz w:val="32"/>
          <w:szCs w:val="28"/>
        </w:rPr>
      </w:pPr>
      <w:r>
        <w:rPr>
          <w:rFonts w:hint="eastAsia" w:ascii="宋体" w:hAnsi="宋体" w:eastAsia="宋体" w:cs="Times New Roman"/>
          <w:b/>
          <w:color w:val="auto"/>
          <w:sz w:val="32"/>
          <w:szCs w:val="28"/>
        </w:rPr>
        <w:t>表格下载</w:t>
      </w:r>
    </w:p>
    <w:p>
      <w:pPr>
        <w:spacing w:line="500" w:lineRule="exact"/>
        <w:ind w:firstLine="640" w:firstLineChars="200"/>
        <w:jc w:val="left"/>
        <w:rPr>
          <w:rFonts w:ascii="仿宋_GB2312" w:hAnsi="宋体" w:eastAsia="仿宋_GB2312" w:cs="Times New Roman"/>
          <w:color w:val="auto"/>
          <w:sz w:val="32"/>
          <w:szCs w:val="32"/>
        </w:rPr>
      </w:pPr>
      <w:r>
        <w:rPr>
          <w:rFonts w:hint="eastAsia" w:ascii="宋体" w:hAnsi="宋体" w:eastAsia="仿宋_GB2312" w:cs="宋体"/>
          <w:color w:val="auto"/>
          <w:sz w:val="32"/>
          <w:szCs w:val="28"/>
        </w:rPr>
        <w:t>登录北京住房公积金网（gjj.beijing.gov.cn），</w:t>
      </w:r>
      <w:r>
        <w:rPr>
          <w:rFonts w:hint="eastAsia" w:ascii="仿宋_GB2312" w:hAnsi="宋体" w:eastAsia="仿宋_GB2312" w:cs="Times New Roman"/>
          <w:color w:val="auto"/>
          <w:sz w:val="32"/>
          <w:szCs w:val="32"/>
        </w:rPr>
        <w:t>点击【办事指南-公积金提取-</w:t>
      </w:r>
      <w:r>
        <w:rPr>
          <w:rFonts w:hint="eastAsia" w:ascii="仿宋_GB2312" w:hAnsi="宋体" w:eastAsia="仿宋_GB2312"/>
          <w:color w:val="auto"/>
          <w:sz w:val="32"/>
          <w:szCs w:val="32"/>
        </w:rPr>
        <w:t>在职期间判处死刑、判处无期徒刑或有期徒刑刑期期满时达到国家法定退休年龄申请提取住房公积金办事指南</w:t>
      </w:r>
      <w:r>
        <w:rPr>
          <w:rFonts w:hint="eastAsia" w:ascii="仿宋_GB2312" w:hAnsi="宋体" w:eastAsia="仿宋_GB2312" w:cs="Times New Roman"/>
          <w:color w:val="auto"/>
          <w:sz w:val="32"/>
          <w:szCs w:val="32"/>
        </w:rPr>
        <w:t>-表格下载】或点击</w:t>
      </w:r>
      <w:r>
        <w:rPr>
          <w:rFonts w:hint="eastAsia" w:ascii="宋体" w:hAnsi="宋体" w:eastAsia="仿宋_GB2312" w:cs="宋体"/>
          <w:color w:val="auto"/>
          <w:sz w:val="32"/>
          <w:szCs w:val="28"/>
        </w:rPr>
        <w:t>【便民服务-常用下载-表格下载】</w:t>
      </w:r>
      <w:r>
        <w:rPr>
          <w:rFonts w:hint="eastAsia" w:ascii="仿宋_GB2312" w:hAnsi="宋体" w:eastAsia="仿宋_GB2312" w:cs="Times New Roman"/>
          <w:color w:val="auto"/>
          <w:sz w:val="32"/>
          <w:szCs w:val="32"/>
        </w:rPr>
        <w:t>。</w:t>
      </w:r>
    </w:p>
    <w:p>
      <w:pPr>
        <w:spacing w:line="500" w:lineRule="exact"/>
        <w:ind w:firstLine="643" w:firstLineChars="200"/>
        <w:jc w:val="left"/>
        <w:rPr>
          <w:rFonts w:ascii="宋体" w:hAnsi="宋体" w:eastAsia="宋体" w:cs="Times New Roman"/>
          <w:b/>
          <w:color w:val="auto"/>
          <w:sz w:val="32"/>
          <w:szCs w:val="28"/>
        </w:rPr>
      </w:pPr>
      <w:r>
        <w:rPr>
          <w:rFonts w:hint="eastAsia" w:ascii="宋体" w:hAnsi="宋体" w:eastAsia="宋体" w:cs="Times New Roman"/>
          <w:b/>
          <w:color w:val="auto"/>
          <w:sz w:val="32"/>
          <w:szCs w:val="28"/>
        </w:rPr>
        <w:t>办理机构地址、电话</w:t>
      </w:r>
    </w:p>
    <w:p>
      <w:pPr>
        <w:spacing w:line="500" w:lineRule="exact"/>
        <w:ind w:firstLine="640" w:firstLineChars="200"/>
        <w:jc w:val="left"/>
        <w:rPr>
          <w:rFonts w:ascii="仿宋_GB2312" w:hAnsi="宋体" w:eastAsia="仿宋_GB2312"/>
          <w:color w:val="auto"/>
          <w:sz w:val="32"/>
          <w:szCs w:val="32"/>
        </w:rPr>
      </w:pPr>
      <w:r>
        <w:rPr>
          <w:rFonts w:hint="eastAsia" w:ascii="宋体" w:hAnsi="宋体" w:eastAsia="仿宋_GB2312" w:cs="宋体"/>
          <w:color w:val="auto"/>
          <w:sz w:val="32"/>
          <w:szCs w:val="28"/>
        </w:rPr>
        <w:t>登录北京住房公积金网（gjj.beijing.gov.cn），在首页</w:t>
      </w:r>
      <w:r>
        <w:rPr>
          <w:rFonts w:hint="eastAsia" w:ascii="仿宋_GB2312" w:hAnsi="宋体" w:eastAsia="仿宋_GB2312"/>
          <w:color w:val="auto"/>
          <w:sz w:val="32"/>
          <w:szCs w:val="32"/>
        </w:rPr>
        <w:t>点击【经办网点】查询。</w:t>
      </w:r>
    </w:p>
    <w:p>
      <w:pPr>
        <w:spacing w:line="500" w:lineRule="exact"/>
        <w:ind w:firstLine="643" w:firstLineChars="200"/>
        <w:jc w:val="left"/>
        <w:rPr>
          <w:rFonts w:ascii="宋体" w:hAnsi="宋体" w:eastAsia="宋体" w:cs="Times New Roman"/>
          <w:b/>
          <w:color w:val="auto"/>
          <w:sz w:val="32"/>
          <w:szCs w:val="28"/>
        </w:rPr>
      </w:pPr>
      <w:r>
        <w:rPr>
          <w:rFonts w:hint="eastAsia" w:ascii="宋体" w:hAnsi="宋体" w:eastAsia="宋体" w:cs="Times New Roman"/>
          <w:b/>
          <w:color w:val="auto"/>
          <w:sz w:val="32"/>
          <w:szCs w:val="28"/>
        </w:rPr>
        <w:t>办理时间、时限</w:t>
      </w:r>
    </w:p>
    <w:p>
      <w:pPr>
        <w:spacing w:line="500" w:lineRule="exact"/>
        <w:ind w:firstLine="640" w:firstLineChars="200"/>
        <w:jc w:val="left"/>
        <w:rPr>
          <w:rFonts w:ascii="宋体" w:hAnsi="宋体" w:eastAsia="仿宋_GB2312" w:cs="宋体"/>
          <w:b/>
          <w:color w:val="auto"/>
          <w:sz w:val="32"/>
          <w:szCs w:val="28"/>
        </w:rPr>
      </w:pPr>
      <w:r>
        <w:rPr>
          <w:rFonts w:hint="eastAsia" w:ascii="宋体" w:hAnsi="宋体" w:eastAsia="仿宋_GB2312" w:cs="Times New Roman"/>
          <w:color w:val="auto"/>
          <w:sz w:val="32"/>
          <w:szCs w:val="28"/>
        </w:rPr>
        <w:t>柜台办理：9：00-12：00，13：30-17：00（公休日和法定节假日按照国家规定执行），管理部及受托银行代办点柜台准予提取的，当日办结。</w:t>
      </w:r>
    </w:p>
    <w:p>
      <w:pPr>
        <w:spacing w:line="500" w:lineRule="exact"/>
        <w:ind w:firstLine="560" w:firstLineChars="200"/>
        <w:jc w:val="left"/>
        <w:rPr>
          <w:rFonts w:asciiTheme="minorEastAsia" w:hAnsiTheme="minorEastAsia"/>
          <w:color w:val="auto"/>
          <w:sz w:val="28"/>
          <w:szCs w:val="28"/>
        </w:rPr>
      </w:pPr>
      <w:bookmarkStart w:id="0" w:name="_GoBack"/>
      <w:bookmarkEnd w:id="0"/>
    </w:p>
    <w:p>
      <w:pPr>
        <w:spacing w:line="500" w:lineRule="exact"/>
        <w:jc w:val="left"/>
        <w:rPr>
          <w:rFonts w:asciiTheme="minorEastAsia" w:hAnsiTheme="minorEastAsia"/>
          <w:color w:val="auto"/>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63D5E"/>
    <w:rsid w:val="00003410"/>
    <w:rsid w:val="00006BA9"/>
    <w:rsid w:val="0001173D"/>
    <w:rsid w:val="00036B70"/>
    <w:rsid w:val="00040C90"/>
    <w:rsid w:val="00051746"/>
    <w:rsid w:val="00054CD5"/>
    <w:rsid w:val="00072C7E"/>
    <w:rsid w:val="00082EB8"/>
    <w:rsid w:val="00085DA5"/>
    <w:rsid w:val="0009395A"/>
    <w:rsid w:val="000A3156"/>
    <w:rsid w:val="000C445B"/>
    <w:rsid w:val="000C6C85"/>
    <w:rsid w:val="000D4E04"/>
    <w:rsid w:val="000D7ACE"/>
    <w:rsid w:val="000E0D71"/>
    <w:rsid w:val="000E36AA"/>
    <w:rsid w:val="000E530E"/>
    <w:rsid w:val="000F01AB"/>
    <w:rsid w:val="00104105"/>
    <w:rsid w:val="0010434E"/>
    <w:rsid w:val="001071B3"/>
    <w:rsid w:val="00124F64"/>
    <w:rsid w:val="001257ED"/>
    <w:rsid w:val="00131290"/>
    <w:rsid w:val="00132C17"/>
    <w:rsid w:val="00183C6D"/>
    <w:rsid w:val="00193B70"/>
    <w:rsid w:val="001A244C"/>
    <w:rsid w:val="001A27B7"/>
    <w:rsid w:val="001C4F2F"/>
    <w:rsid w:val="001D3526"/>
    <w:rsid w:val="001E2482"/>
    <w:rsid w:val="001E2BFF"/>
    <w:rsid w:val="001F2E76"/>
    <w:rsid w:val="001F68A0"/>
    <w:rsid w:val="00206286"/>
    <w:rsid w:val="00207630"/>
    <w:rsid w:val="00207744"/>
    <w:rsid w:val="00217045"/>
    <w:rsid w:val="00225444"/>
    <w:rsid w:val="0022734A"/>
    <w:rsid w:val="002352C1"/>
    <w:rsid w:val="002378B6"/>
    <w:rsid w:val="002518C8"/>
    <w:rsid w:val="00251D15"/>
    <w:rsid w:val="002529B8"/>
    <w:rsid w:val="00252C5D"/>
    <w:rsid w:val="002538F1"/>
    <w:rsid w:val="0025746B"/>
    <w:rsid w:val="002613AA"/>
    <w:rsid w:val="00266C2E"/>
    <w:rsid w:val="002677E6"/>
    <w:rsid w:val="002721BF"/>
    <w:rsid w:val="002721EA"/>
    <w:rsid w:val="002956DF"/>
    <w:rsid w:val="002A02CC"/>
    <w:rsid w:val="002A03B7"/>
    <w:rsid w:val="002A4980"/>
    <w:rsid w:val="002B70A8"/>
    <w:rsid w:val="002D224E"/>
    <w:rsid w:val="002D3EFF"/>
    <w:rsid w:val="002F65DC"/>
    <w:rsid w:val="003066FE"/>
    <w:rsid w:val="00307F4D"/>
    <w:rsid w:val="00320624"/>
    <w:rsid w:val="00320FBC"/>
    <w:rsid w:val="00346819"/>
    <w:rsid w:val="00346EBB"/>
    <w:rsid w:val="00360F86"/>
    <w:rsid w:val="00364744"/>
    <w:rsid w:val="00366B28"/>
    <w:rsid w:val="00374EC1"/>
    <w:rsid w:val="00392FD1"/>
    <w:rsid w:val="003B32DE"/>
    <w:rsid w:val="003D1CB0"/>
    <w:rsid w:val="003D448E"/>
    <w:rsid w:val="003E0342"/>
    <w:rsid w:val="003E7A45"/>
    <w:rsid w:val="003F32B2"/>
    <w:rsid w:val="00402A9D"/>
    <w:rsid w:val="00404001"/>
    <w:rsid w:val="004043C9"/>
    <w:rsid w:val="004047FC"/>
    <w:rsid w:val="00423DC2"/>
    <w:rsid w:val="00431B1D"/>
    <w:rsid w:val="00445365"/>
    <w:rsid w:val="0044658A"/>
    <w:rsid w:val="00451AB6"/>
    <w:rsid w:val="004533A5"/>
    <w:rsid w:val="004545CF"/>
    <w:rsid w:val="00462207"/>
    <w:rsid w:val="00465628"/>
    <w:rsid w:val="00495899"/>
    <w:rsid w:val="00497897"/>
    <w:rsid w:val="004A3BF9"/>
    <w:rsid w:val="004C2C7A"/>
    <w:rsid w:val="004F3653"/>
    <w:rsid w:val="004F4F72"/>
    <w:rsid w:val="004F5FA7"/>
    <w:rsid w:val="005044AF"/>
    <w:rsid w:val="00505525"/>
    <w:rsid w:val="00506F67"/>
    <w:rsid w:val="005247C8"/>
    <w:rsid w:val="00532D6F"/>
    <w:rsid w:val="00542C2D"/>
    <w:rsid w:val="00550007"/>
    <w:rsid w:val="00553D6F"/>
    <w:rsid w:val="005608A1"/>
    <w:rsid w:val="005637B7"/>
    <w:rsid w:val="00576FCB"/>
    <w:rsid w:val="005777EF"/>
    <w:rsid w:val="00584DAC"/>
    <w:rsid w:val="005857ED"/>
    <w:rsid w:val="0058711A"/>
    <w:rsid w:val="00587E44"/>
    <w:rsid w:val="00596A1B"/>
    <w:rsid w:val="005A3AE8"/>
    <w:rsid w:val="005A6BC7"/>
    <w:rsid w:val="005B7478"/>
    <w:rsid w:val="005E6D47"/>
    <w:rsid w:val="005F20D0"/>
    <w:rsid w:val="005F382B"/>
    <w:rsid w:val="005F412E"/>
    <w:rsid w:val="005F4B25"/>
    <w:rsid w:val="006114D3"/>
    <w:rsid w:val="006219FB"/>
    <w:rsid w:val="0063318E"/>
    <w:rsid w:val="00636A2A"/>
    <w:rsid w:val="0064298D"/>
    <w:rsid w:val="0064622C"/>
    <w:rsid w:val="00654AF0"/>
    <w:rsid w:val="00661FD8"/>
    <w:rsid w:val="00662752"/>
    <w:rsid w:val="00662A7B"/>
    <w:rsid w:val="00666987"/>
    <w:rsid w:val="006731BF"/>
    <w:rsid w:val="00677B33"/>
    <w:rsid w:val="0068061F"/>
    <w:rsid w:val="0068081E"/>
    <w:rsid w:val="00697411"/>
    <w:rsid w:val="006B119D"/>
    <w:rsid w:val="006C0248"/>
    <w:rsid w:val="006C319E"/>
    <w:rsid w:val="006D29A8"/>
    <w:rsid w:val="006D5F56"/>
    <w:rsid w:val="006D7FAC"/>
    <w:rsid w:val="006E3BB9"/>
    <w:rsid w:val="006E568B"/>
    <w:rsid w:val="006F2151"/>
    <w:rsid w:val="00701803"/>
    <w:rsid w:val="007026AC"/>
    <w:rsid w:val="00716BAB"/>
    <w:rsid w:val="0072266C"/>
    <w:rsid w:val="00737BF9"/>
    <w:rsid w:val="00757E49"/>
    <w:rsid w:val="007601AB"/>
    <w:rsid w:val="007615E4"/>
    <w:rsid w:val="00767F9A"/>
    <w:rsid w:val="0077290B"/>
    <w:rsid w:val="007763E7"/>
    <w:rsid w:val="00776C00"/>
    <w:rsid w:val="00780729"/>
    <w:rsid w:val="00782D04"/>
    <w:rsid w:val="00783CAB"/>
    <w:rsid w:val="00784239"/>
    <w:rsid w:val="00792042"/>
    <w:rsid w:val="007A124B"/>
    <w:rsid w:val="007B0DA6"/>
    <w:rsid w:val="007B0E40"/>
    <w:rsid w:val="007C629E"/>
    <w:rsid w:val="007D2271"/>
    <w:rsid w:val="007D537A"/>
    <w:rsid w:val="007E2559"/>
    <w:rsid w:val="007F6187"/>
    <w:rsid w:val="007F7E2E"/>
    <w:rsid w:val="0080120B"/>
    <w:rsid w:val="0080444A"/>
    <w:rsid w:val="00807E8E"/>
    <w:rsid w:val="0081129C"/>
    <w:rsid w:val="00812224"/>
    <w:rsid w:val="0081385E"/>
    <w:rsid w:val="0081535C"/>
    <w:rsid w:val="00822CAE"/>
    <w:rsid w:val="008519B9"/>
    <w:rsid w:val="008756B1"/>
    <w:rsid w:val="00884CAF"/>
    <w:rsid w:val="008915B6"/>
    <w:rsid w:val="008922F5"/>
    <w:rsid w:val="00894200"/>
    <w:rsid w:val="008A5639"/>
    <w:rsid w:val="008B0789"/>
    <w:rsid w:val="008B16AE"/>
    <w:rsid w:val="008B19AC"/>
    <w:rsid w:val="008B46F1"/>
    <w:rsid w:val="008C6CDB"/>
    <w:rsid w:val="008C7C21"/>
    <w:rsid w:val="008D07C2"/>
    <w:rsid w:val="008D6D36"/>
    <w:rsid w:val="008E57B3"/>
    <w:rsid w:val="008F4AB7"/>
    <w:rsid w:val="008F5C91"/>
    <w:rsid w:val="00900F9B"/>
    <w:rsid w:val="00903ED2"/>
    <w:rsid w:val="00904148"/>
    <w:rsid w:val="00923F49"/>
    <w:rsid w:val="00924EAD"/>
    <w:rsid w:val="009253CB"/>
    <w:rsid w:val="009324A1"/>
    <w:rsid w:val="0093327B"/>
    <w:rsid w:val="00933A4B"/>
    <w:rsid w:val="009537DE"/>
    <w:rsid w:val="009600D3"/>
    <w:rsid w:val="00965A39"/>
    <w:rsid w:val="009811E2"/>
    <w:rsid w:val="0098521C"/>
    <w:rsid w:val="00986EC9"/>
    <w:rsid w:val="009A3E95"/>
    <w:rsid w:val="009A5674"/>
    <w:rsid w:val="009A61D1"/>
    <w:rsid w:val="009A6AAB"/>
    <w:rsid w:val="009B7374"/>
    <w:rsid w:val="009C31BD"/>
    <w:rsid w:val="009C4672"/>
    <w:rsid w:val="009C693D"/>
    <w:rsid w:val="009C702B"/>
    <w:rsid w:val="009D19C7"/>
    <w:rsid w:val="009D4639"/>
    <w:rsid w:val="009E5F4A"/>
    <w:rsid w:val="009E5FA1"/>
    <w:rsid w:val="009F04A7"/>
    <w:rsid w:val="009F2648"/>
    <w:rsid w:val="009F6950"/>
    <w:rsid w:val="00A079FC"/>
    <w:rsid w:val="00A20C91"/>
    <w:rsid w:val="00A25999"/>
    <w:rsid w:val="00A3091F"/>
    <w:rsid w:val="00A413DB"/>
    <w:rsid w:val="00A43D1B"/>
    <w:rsid w:val="00A466E8"/>
    <w:rsid w:val="00A51EA3"/>
    <w:rsid w:val="00A667E4"/>
    <w:rsid w:val="00A677DE"/>
    <w:rsid w:val="00A77BEF"/>
    <w:rsid w:val="00A77C0C"/>
    <w:rsid w:val="00A84191"/>
    <w:rsid w:val="00A87828"/>
    <w:rsid w:val="00A92673"/>
    <w:rsid w:val="00A94E96"/>
    <w:rsid w:val="00AA21F2"/>
    <w:rsid w:val="00AB1847"/>
    <w:rsid w:val="00AB5C1E"/>
    <w:rsid w:val="00AC3E3F"/>
    <w:rsid w:val="00AE6453"/>
    <w:rsid w:val="00AF239B"/>
    <w:rsid w:val="00AF2FB9"/>
    <w:rsid w:val="00AF513A"/>
    <w:rsid w:val="00B01108"/>
    <w:rsid w:val="00B06A90"/>
    <w:rsid w:val="00B101B4"/>
    <w:rsid w:val="00B102F3"/>
    <w:rsid w:val="00B12999"/>
    <w:rsid w:val="00B257A1"/>
    <w:rsid w:val="00B45882"/>
    <w:rsid w:val="00B45F57"/>
    <w:rsid w:val="00B5734E"/>
    <w:rsid w:val="00B63C8C"/>
    <w:rsid w:val="00B63D5E"/>
    <w:rsid w:val="00B773A0"/>
    <w:rsid w:val="00B92679"/>
    <w:rsid w:val="00B9326A"/>
    <w:rsid w:val="00BA7D73"/>
    <w:rsid w:val="00BC2586"/>
    <w:rsid w:val="00BC6362"/>
    <w:rsid w:val="00BD11D3"/>
    <w:rsid w:val="00BD2C79"/>
    <w:rsid w:val="00BE0B18"/>
    <w:rsid w:val="00BE2AE9"/>
    <w:rsid w:val="00BF1601"/>
    <w:rsid w:val="00BF296D"/>
    <w:rsid w:val="00C00682"/>
    <w:rsid w:val="00C00729"/>
    <w:rsid w:val="00C03471"/>
    <w:rsid w:val="00C056EA"/>
    <w:rsid w:val="00C2035B"/>
    <w:rsid w:val="00C21E79"/>
    <w:rsid w:val="00C31036"/>
    <w:rsid w:val="00C33511"/>
    <w:rsid w:val="00C4276D"/>
    <w:rsid w:val="00C526F6"/>
    <w:rsid w:val="00C57384"/>
    <w:rsid w:val="00C57D61"/>
    <w:rsid w:val="00C645F7"/>
    <w:rsid w:val="00C84211"/>
    <w:rsid w:val="00C907F5"/>
    <w:rsid w:val="00CB092A"/>
    <w:rsid w:val="00CB1F39"/>
    <w:rsid w:val="00CB4445"/>
    <w:rsid w:val="00CB47CC"/>
    <w:rsid w:val="00CC6BF5"/>
    <w:rsid w:val="00CD1154"/>
    <w:rsid w:val="00CD36F9"/>
    <w:rsid w:val="00CE098C"/>
    <w:rsid w:val="00CF00E6"/>
    <w:rsid w:val="00CF4E9E"/>
    <w:rsid w:val="00D03A91"/>
    <w:rsid w:val="00D136B5"/>
    <w:rsid w:val="00D1738E"/>
    <w:rsid w:val="00D21D88"/>
    <w:rsid w:val="00D23037"/>
    <w:rsid w:val="00D2381B"/>
    <w:rsid w:val="00D259AA"/>
    <w:rsid w:val="00D30493"/>
    <w:rsid w:val="00D33710"/>
    <w:rsid w:val="00D413D1"/>
    <w:rsid w:val="00D450BD"/>
    <w:rsid w:val="00D460FC"/>
    <w:rsid w:val="00D52913"/>
    <w:rsid w:val="00D5638B"/>
    <w:rsid w:val="00D73EB6"/>
    <w:rsid w:val="00D759B0"/>
    <w:rsid w:val="00D75C97"/>
    <w:rsid w:val="00D76615"/>
    <w:rsid w:val="00D836BF"/>
    <w:rsid w:val="00DA1933"/>
    <w:rsid w:val="00DA2081"/>
    <w:rsid w:val="00DA4C55"/>
    <w:rsid w:val="00DB0FE1"/>
    <w:rsid w:val="00DC1DA5"/>
    <w:rsid w:val="00DC4939"/>
    <w:rsid w:val="00DD6F6A"/>
    <w:rsid w:val="00DF1840"/>
    <w:rsid w:val="00DF1DA2"/>
    <w:rsid w:val="00E00407"/>
    <w:rsid w:val="00E0366A"/>
    <w:rsid w:val="00E05A95"/>
    <w:rsid w:val="00E11179"/>
    <w:rsid w:val="00E3253F"/>
    <w:rsid w:val="00E326A2"/>
    <w:rsid w:val="00E35A05"/>
    <w:rsid w:val="00E41A10"/>
    <w:rsid w:val="00E447DB"/>
    <w:rsid w:val="00E66F50"/>
    <w:rsid w:val="00E67BA7"/>
    <w:rsid w:val="00E7262E"/>
    <w:rsid w:val="00E75D00"/>
    <w:rsid w:val="00E75E85"/>
    <w:rsid w:val="00EA14F0"/>
    <w:rsid w:val="00EA2F51"/>
    <w:rsid w:val="00EB1DC7"/>
    <w:rsid w:val="00EB35B6"/>
    <w:rsid w:val="00EB74D5"/>
    <w:rsid w:val="00ED06AC"/>
    <w:rsid w:val="00ED23B5"/>
    <w:rsid w:val="00EE0299"/>
    <w:rsid w:val="00EF1130"/>
    <w:rsid w:val="00EF617F"/>
    <w:rsid w:val="00F213FB"/>
    <w:rsid w:val="00F2202A"/>
    <w:rsid w:val="00F26393"/>
    <w:rsid w:val="00F31DB0"/>
    <w:rsid w:val="00F4348B"/>
    <w:rsid w:val="00F44999"/>
    <w:rsid w:val="00F50CC4"/>
    <w:rsid w:val="00F53D19"/>
    <w:rsid w:val="00F5441F"/>
    <w:rsid w:val="00F570BC"/>
    <w:rsid w:val="00F63E02"/>
    <w:rsid w:val="00F641FE"/>
    <w:rsid w:val="00F72D2B"/>
    <w:rsid w:val="00F848B3"/>
    <w:rsid w:val="00F92F98"/>
    <w:rsid w:val="00F97839"/>
    <w:rsid w:val="00FA073E"/>
    <w:rsid w:val="00FB1D8F"/>
    <w:rsid w:val="00FB3B00"/>
    <w:rsid w:val="00FB408C"/>
    <w:rsid w:val="00FD0A01"/>
    <w:rsid w:val="00FD2989"/>
    <w:rsid w:val="00FD4A58"/>
    <w:rsid w:val="00FD6CC2"/>
    <w:rsid w:val="00FD7514"/>
    <w:rsid w:val="00FE1E1F"/>
    <w:rsid w:val="00FF2893"/>
    <w:rsid w:val="00FF75E3"/>
    <w:rsid w:val="01BB2DE4"/>
    <w:rsid w:val="0CAD792B"/>
    <w:rsid w:val="0D554A75"/>
    <w:rsid w:val="0F9646FA"/>
    <w:rsid w:val="12C326A8"/>
    <w:rsid w:val="14055C20"/>
    <w:rsid w:val="2B3E6E1D"/>
    <w:rsid w:val="36662282"/>
    <w:rsid w:val="38312484"/>
    <w:rsid w:val="3B6A4747"/>
    <w:rsid w:val="44613E4B"/>
    <w:rsid w:val="4BCA7FF4"/>
    <w:rsid w:val="4C956D44"/>
    <w:rsid w:val="4CDB0D1E"/>
    <w:rsid w:val="5BF47BF0"/>
    <w:rsid w:val="5F2D7CEC"/>
    <w:rsid w:val="5F7F52A3"/>
    <w:rsid w:val="620B744E"/>
    <w:rsid w:val="64FF010C"/>
    <w:rsid w:val="651049A5"/>
    <w:rsid w:val="66915404"/>
    <w:rsid w:val="69B82B50"/>
    <w:rsid w:val="785C638B"/>
    <w:rsid w:val="7CCB2EE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3"/>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styleId="8">
    <w:name w:val="Hyperlink"/>
    <w:basedOn w:val="6"/>
    <w:unhideWhenUsed/>
    <w:qFormat/>
    <w:uiPriority w:val="99"/>
    <w:rPr>
      <w:color w:val="0000FF" w:themeColor="hyperlink"/>
      <w:u w:val="single"/>
    </w:rPr>
  </w:style>
  <w:style w:type="character" w:customStyle="1" w:styleId="10">
    <w:name w:val="页眉 字符"/>
    <w:basedOn w:val="6"/>
    <w:link w:val="4"/>
    <w:qFormat/>
    <w:uiPriority w:val="99"/>
    <w:rPr>
      <w:sz w:val="18"/>
      <w:szCs w:val="18"/>
    </w:rPr>
  </w:style>
  <w:style w:type="character" w:customStyle="1" w:styleId="11">
    <w:name w:val="页脚 字符"/>
    <w:basedOn w:val="6"/>
    <w:link w:val="3"/>
    <w:qFormat/>
    <w:uiPriority w:val="99"/>
    <w:rPr>
      <w:sz w:val="18"/>
      <w:szCs w:val="18"/>
    </w:rPr>
  </w:style>
  <w:style w:type="paragraph" w:styleId="12">
    <w:name w:val="List Paragraph"/>
    <w:basedOn w:val="1"/>
    <w:qFormat/>
    <w:uiPriority w:val="34"/>
    <w:pPr>
      <w:ind w:firstLine="420" w:firstLineChars="200"/>
    </w:pPr>
  </w:style>
  <w:style w:type="character" w:customStyle="1" w:styleId="13">
    <w:name w:val="批注框文本 字符"/>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7F2AE73-E8AA-44F1-97E5-25A99B45F20D}">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213</Words>
  <Characters>1220</Characters>
  <Lines>10</Lines>
  <Paragraphs>2</Paragraphs>
  <TotalTime>156</TotalTime>
  <ScaleCrop>false</ScaleCrop>
  <LinksUpToDate>false</LinksUpToDate>
  <CharactersWithSpaces>1431</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2018-05-09T14:09:00Z</dcterms:created>
  <dc:creator>user</dc:creator>
  <cp:lastModifiedBy>Administrator</cp:lastModifiedBy>
  <cp:lastPrinted>2018-05-07T01:49:00Z</cp:lastPrinted>
  <dcterms:modified xsi:type="dcterms:W3CDTF">2018-12-26T06:25:50Z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