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leftChars="0"/>
        <w:textAlignment w:val="auto"/>
        <w:outlineLvl w:val="9"/>
        <w:rPr>
          <w:rFonts w:hint="eastAsia"/>
        </w:rPr>
      </w:pPr>
      <w:bookmarkStart w:id="0" w:name="_Toc1305"/>
      <w:bookmarkStart w:id="1" w:name="_Toc26246"/>
      <w:bookmarkStart w:id="2" w:name="_Toc22253"/>
      <w:bookmarkStart w:id="3" w:name="_Toc30630"/>
      <w:bookmarkStart w:id="4" w:name="_Toc10460"/>
      <w:bookmarkStart w:id="5" w:name="_Toc24488"/>
      <w:bookmarkStart w:id="6" w:name="_Toc22044"/>
      <w:bookmarkStart w:id="7" w:name="_Toc5404"/>
      <w:bookmarkStart w:id="8" w:name="_Toc24494"/>
      <w:bookmarkStart w:id="9" w:name="_Toc15004"/>
      <w:bookmarkStart w:id="10" w:name="_Toc29699"/>
      <w:bookmarkStart w:id="11" w:name="_Toc27736"/>
      <w:bookmarkStart w:id="12" w:name="_Toc29035"/>
      <w:bookmarkStart w:id="13" w:name="_Toc11260"/>
      <w:bookmarkStart w:id="14" w:name="_Toc28606"/>
      <w:bookmarkStart w:id="15" w:name="_Toc2703"/>
      <w:bookmarkStart w:id="16" w:name="_Toc12267"/>
      <w:bookmarkStart w:id="17" w:name="_Toc4265"/>
      <w:bookmarkStart w:id="18" w:name="_Toc1543"/>
      <w:bookmarkStart w:id="19" w:name="_Toc9906"/>
      <w:bookmarkStart w:id="20" w:name="_Toc14849"/>
      <w:bookmarkStart w:id="21" w:name="_Toc14911"/>
      <w:bookmarkStart w:id="22" w:name="_Toc26542"/>
      <w:bookmarkStart w:id="23" w:name="_Toc16701"/>
      <w:bookmarkStart w:id="24" w:name="_Toc21209"/>
      <w:bookmarkStart w:id="25" w:name="_Toc19388"/>
      <w:bookmarkStart w:id="26" w:name="_Toc13388"/>
      <w:bookmarkStart w:id="27" w:name="_Toc23406"/>
      <w:bookmarkStart w:id="28" w:name="_Toc26606"/>
      <w:bookmarkStart w:id="29" w:name="_Toc14247"/>
      <w:bookmarkStart w:id="30" w:name="_Toc23458"/>
      <w:bookmarkStart w:id="31" w:name="_Toc30512"/>
      <w:bookmarkStart w:id="32" w:name="_Toc23922"/>
      <w:bookmarkStart w:id="33" w:name="_Toc32566"/>
      <w:bookmarkStart w:id="34" w:name="_Toc2047"/>
      <w:bookmarkStart w:id="35" w:name="_Toc32040"/>
      <w:bookmarkStart w:id="36" w:name="_Toc601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37" w:name="_Toc3043"/>
      <w:r>
        <w:rPr>
          <w:rFonts w:hint="eastAsia"/>
        </w:rPr>
        <w:t>北京市住房租赁押金托管和租金监管系统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37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38" w:name="_Toc31308"/>
      <w:bookmarkStart w:id="39" w:name="_Toc5624"/>
      <w:bookmarkStart w:id="40" w:name="_Toc14354"/>
      <w:bookmarkStart w:id="41" w:name="_Toc2592"/>
      <w:bookmarkStart w:id="42" w:name="_Toc20386"/>
      <w:bookmarkStart w:id="43" w:name="_Toc29955"/>
      <w:bookmarkStart w:id="44" w:name="_Toc11128"/>
      <w:bookmarkStart w:id="45" w:name="_Toc22493"/>
      <w:bookmarkStart w:id="46" w:name="_Toc1706"/>
      <w:bookmarkStart w:id="47" w:name="_Toc5513"/>
      <w:bookmarkStart w:id="48" w:name="_Toc30775"/>
      <w:bookmarkStart w:id="49" w:name="_Toc8220"/>
      <w:r>
        <w:rPr>
          <w:rFonts w:hint="eastAsia"/>
        </w:rPr>
        <w:t>操作手册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50" w:name="_Toc4529"/>
      <w:r>
        <w:rPr>
          <w:rFonts w:hint="eastAsia"/>
        </w:rPr>
        <w:t>【承租人京通端】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50"/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  <w:outlineLvl w:val="9"/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  <w:outlineLvl w:val="9"/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  <w:outlineLvl w:val="9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51" w:name="_Toc26782"/>
      <w:bookmarkStart w:id="52" w:name="_Toc23218"/>
      <w:bookmarkStart w:id="53" w:name="_Toc29909"/>
      <w:bookmarkStart w:id="54" w:name="_Toc12100"/>
      <w:bookmarkStart w:id="55" w:name="_Toc6661"/>
      <w:bookmarkStart w:id="56" w:name="_Toc30158"/>
      <w:bookmarkStart w:id="57" w:name="_Toc31273"/>
      <w:bookmarkStart w:id="58" w:name="_Toc29891"/>
      <w:bookmarkStart w:id="59" w:name="_Toc19454"/>
      <w:bookmarkStart w:id="60" w:name="_Toc16828"/>
      <w:bookmarkStart w:id="61" w:name="_Toc13839"/>
      <w:bookmarkStart w:id="62" w:name="_Toc11746"/>
      <w:bookmarkStart w:id="63" w:name="_Toc16003"/>
      <w:bookmarkStart w:id="64" w:name="_Toc8847"/>
      <w:r>
        <w:rPr>
          <w:rFonts w:hint="eastAsia" w:ascii="方正小标宋简体" w:hAnsi="方正小标宋简体" w:eastAsia="方正小标宋简体" w:cs="方正小标宋简体"/>
        </w:rPr>
        <w:t>2024年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</w:rPr>
        <w:t>月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/>
    <w:p>
      <w:pPr>
        <w:jc w:val="center"/>
        <w:rPr>
          <w:rFonts w:hint="eastAsia" w:ascii="宋体" w:hAnsi="宋体" w:eastAsia="宋体"/>
        </w:rPr>
        <w:sectPr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sdt>
      <w:sdtPr>
        <w:rPr>
          <w:rFonts w:hint="eastAsia" w:ascii="黑体" w:hAnsi="黑体" w:eastAsia="黑体" w:cs="黑体"/>
          <w:sz w:val="28"/>
          <w:szCs w:val="36"/>
        </w:rPr>
        <w:id w:val="14747564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黑体"/>
          <w:sz w:val="28"/>
          <w:szCs w:val="36"/>
        </w:rPr>
      </w:sdtEndPr>
      <w:sdtContent>
        <w:p>
          <w:pPr>
            <w:jc w:val="center"/>
            <w:rPr>
              <w:rFonts w:hint="eastAsia" w:ascii="黑体" w:hAnsi="黑体" w:eastAsia="黑体" w:cs="黑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sz w:val="32"/>
              <w:szCs w:val="40"/>
            </w:rPr>
            <w:t>目</w:t>
          </w:r>
          <w:r>
            <w:rPr>
              <w:rFonts w:hint="eastAsia" w:ascii="黑体" w:hAnsi="黑体" w:eastAsia="黑体" w:cs="黑体"/>
              <w:sz w:val="32"/>
              <w:szCs w:val="40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sz w:val="32"/>
              <w:szCs w:val="40"/>
            </w:rPr>
            <w:t>录</w:t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TOC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_Toc15302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综述</w:t>
          </w:r>
          <w:r>
            <w:tab/>
          </w:r>
          <w:r>
            <w:fldChar w:fldCharType="begin"/>
          </w:r>
          <w:r>
            <w:instrText xml:space="preserve"> PAGEREF _Toc15302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_Toc19094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目的依据</w:t>
          </w:r>
          <w:r>
            <w:tab/>
          </w:r>
          <w:r>
            <w:fldChar w:fldCharType="begin"/>
          </w:r>
          <w:r>
            <w:instrText xml:space="preserve"> PAGEREF _Toc19094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_Toc2520 </w:instrText>
          </w:r>
          <w: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_Toc2520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_Toc8686 </w:instrText>
          </w:r>
          <w:r>
            <w:fldChar w:fldCharType="separate"/>
          </w:r>
          <w:r>
            <w:rPr>
              <w:rFonts w:hint="default"/>
            </w:rPr>
            <w:t xml:space="preserve">1.3. </w:t>
          </w:r>
          <w:r>
            <w:rPr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_Toc8686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_Toc19785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_Toc19785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_Toc20689 </w:instrText>
          </w:r>
          <w: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  <w:lang w:val="en-US" w:eastAsia="zh-CN"/>
            </w:rPr>
            <w:t>押金租金</w:t>
          </w:r>
          <w:r>
            <w:rPr>
              <w:rFonts w:hint="eastAsia"/>
            </w:rPr>
            <w:t>缴纳订单查询</w:t>
          </w:r>
          <w:r>
            <w:tab/>
          </w:r>
          <w:r>
            <w:fldChar w:fldCharType="begin"/>
          </w:r>
          <w:r>
            <w:instrText xml:space="preserve"> PAGEREF _Toc20689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_Toc21538 </w:instrText>
          </w:r>
          <w: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_Toc21538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_Toc1125 </w:instrText>
          </w:r>
          <w: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_Toc1125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_Toc11696 </w:instrText>
          </w:r>
          <w:r>
            <w:fldChar w:fldCharType="separate"/>
          </w:r>
          <w:r>
            <w:rPr>
              <w:rFonts w:hint="default"/>
            </w:rPr>
            <w:t xml:space="preserve">3.2.1. </w:t>
          </w:r>
          <w:r>
            <w:rPr>
              <w:rFonts w:hint="eastAsia"/>
            </w:rPr>
            <w:t>订单状态</w:t>
          </w:r>
          <w:r>
            <w:tab/>
          </w:r>
          <w:r>
            <w:fldChar w:fldCharType="begin"/>
          </w:r>
          <w:r>
            <w:instrText xml:space="preserve"> PAGEREF _Toc11696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_Toc27987 </w:instrText>
          </w:r>
          <w:r>
            <w:fldChar w:fldCharType="separate"/>
          </w:r>
          <w:r>
            <w:rPr>
              <w:rFonts w:hint="default"/>
            </w:rPr>
            <w:t xml:space="preserve">3.2.2. </w:t>
          </w:r>
          <w:r>
            <w:rPr>
              <w:rFonts w:hint="eastAsia"/>
            </w:rPr>
            <w:t>订单详情</w:t>
          </w:r>
          <w:r>
            <w:tab/>
          </w:r>
          <w:r>
            <w:fldChar w:fldCharType="begin"/>
          </w:r>
          <w:r>
            <w:instrText xml:space="preserve"> PAGEREF _Toc27987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_Toc5543 </w:instrText>
          </w:r>
          <w:r>
            <w:fldChar w:fldCharType="separate"/>
          </w:r>
          <w:r>
            <w:rPr>
              <w:rFonts w:hint="default"/>
            </w:rPr>
            <w:t xml:space="preserve">3.2.3. </w:t>
          </w:r>
          <w:r>
            <w:rPr>
              <w:rFonts w:hint="eastAsia"/>
            </w:rPr>
            <w:t>继续缴纳</w:t>
          </w:r>
          <w:r>
            <w:tab/>
          </w:r>
          <w:r>
            <w:fldChar w:fldCharType="begin"/>
          </w:r>
          <w:r>
            <w:instrText xml:space="preserve"> PAGEREF _Toc5543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_Toc18975 </w:instrText>
          </w:r>
          <w:r>
            <w:fldChar w:fldCharType="separate"/>
          </w:r>
          <w:r>
            <w:rPr>
              <w:rFonts w:hint="default"/>
            </w:rPr>
            <w:t xml:space="preserve">3.2.4. </w:t>
          </w:r>
          <w:r>
            <w:rPr>
              <w:rFonts w:hint="eastAsia"/>
            </w:rPr>
            <w:t>去缴款</w:t>
          </w:r>
          <w:r>
            <w:tab/>
          </w:r>
          <w:r>
            <w:fldChar w:fldCharType="begin"/>
          </w:r>
          <w:r>
            <w:instrText xml:space="preserve"> PAGEREF _Toc18975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_Toc15055 </w:instrText>
          </w:r>
          <w:r>
            <w:fldChar w:fldCharType="separate"/>
          </w:r>
          <w:r>
            <w:rPr>
              <w:rFonts w:hint="default"/>
            </w:rPr>
            <w:t xml:space="preserve">3.2.5. </w:t>
          </w:r>
          <w:r>
            <w:rPr>
              <w:rFonts w:hint="eastAsia"/>
            </w:rPr>
            <w:t>取消订单</w:t>
          </w:r>
          <w:r>
            <w:tab/>
          </w:r>
          <w:r>
            <w:fldChar w:fldCharType="begin"/>
          </w:r>
          <w:r>
            <w:instrText xml:space="preserve"> PAGEREF _Toc15055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_Toc15145 </w:instrText>
          </w:r>
          <w: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网签直缴</w:t>
          </w:r>
          <w:r>
            <w:tab/>
          </w:r>
          <w:r>
            <w:fldChar w:fldCharType="begin"/>
          </w:r>
          <w:r>
            <w:instrText xml:space="preserve"> PAGEREF _Toc15145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_Toc3276 </w:instrText>
          </w:r>
          <w:r>
            <w:fldChar w:fldCharType="separate"/>
          </w:r>
          <w:r>
            <w:rPr>
              <w:rFonts w:hint="default"/>
            </w:rPr>
            <w:t xml:space="preserve">4.1.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_Toc3276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_Toc507 </w:instrText>
          </w:r>
          <w:r>
            <w:fldChar w:fldCharType="separate"/>
          </w:r>
          <w:r>
            <w:rPr>
              <w:rFonts w:hint="default"/>
            </w:rPr>
            <w:t xml:space="preserve">4.2.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_Toc507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_Toc32152 </w:instrText>
          </w:r>
          <w:r>
            <w:fldChar w:fldCharType="separate"/>
          </w:r>
          <w:r>
            <w:rPr>
              <w:rFonts w:hint="default"/>
            </w:rPr>
            <w:t xml:space="preserve">4.2.1. </w:t>
          </w:r>
          <w:r>
            <w:rPr>
              <w:rFonts w:hint="eastAsia"/>
            </w:rPr>
            <w:t>网签</w:t>
          </w:r>
          <w:r>
            <w:tab/>
          </w:r>
          <w:r>
            <w:fldChar w:fldCharType="begin"/>
          </w:r>
          <w:r>
            <w:instrText xml:space="preserve"> PAGEREF _Toc32152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_Toc27892 </w:instrText>
          </w:r>
          <w:r>
            <w:fldChar w:fldCharType="separate"/>
          </w:r>
          <w:r>
            <w:rPr>
              <w:rFonts w:hint="default"/>
            </w:rPr>
            <w:t xml:space="preserve">4.2.2. </w:t>
          </w:r>
          <w:r>
            <w:rPr>
              <w:rFonts w:hint="eastAsia"/>
            </w:rPr>
            <w:t>确认缴纳</w:t>
          </w:r>
          <w:r>
            <w:tab/>
          </w:r>
          <w:r>
            <w:fldChar w:fldCharType="begin"/>
          </w:r>
          <w:r>
            <w:instrText xml:space="preserve"> PAGEREF _Toc27892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_Toc23860 </w:instrText>
          </w:r>
          <w:r>
            <w:fldChar w:fldCharType="separate"/>
          </w:r>
          <w:r>
            <w:rPr>
              <w:rFonts w:hint="default"/>
            </w:rPr>
            <w:t xml:space="preserve">4.2.3. </w:t>
          </w:r>
          <w:r>
            <w:rPr>
              <w:rFonts w:hint="eastAsia"/>
            </w:rPr>
            <w:t>支付订单</w:t>
          </w:r>
          <w:r>
            <w:tab/>
          </w:r>
          <w:r>
            <w:fldChar w:fldCharType="begin"/>
          </w:r>
          <w:r>
            <w:instrText xml:space="preserve"> PAGEREF _Toc23860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_Toc25260 </w:instrText>
          </w:r>
          <w:r>
            <w:fldChar w:fldCharType="separate"/>
          </w:r>
          <w:r>
            <w:rPr>
              <w:rFonts w:hint="default"/>
            </w:rPr>
            <w:t xml:space="preserve">5. </w:t>
          </w:r>
          <w:r>
            <w:rPr>
              <w:rFonts w:hint="eastAsia"/>
            </w:rPr>
            <w:t>押金</w:t>
          </w:r>
          <w:r>
            <w:rPr>
              <w:rFonts w:hint="eastAsia"/>
              <w:lang w:val="en-US" w:eastAsia="zh-CN"/>
            </w:rPr>
            <w:t>租金</w:t>
          </w:r>
          <w:r>
            <w:rPr>
              <w:rFonts w:hint="eastAsia"/>
            </w:rPr>
            <w:t>余额查询</w:t>
          </w:r>
          <w:r>
            <w:tab/>
          </w:r>
          <w:r>
            <w:fldChar w:fldCharType="begin"/>
          </w:r>
          <w:r>
            <w:instrText xml:space="preserve"> PAGEREF _Toc25260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_Toc23563 </w:instrText>
          </w:r>
          <w:r>
            <w:fldChar w:fldCharType="separate"/>
          </w:r>
          <w:r>
            <w:rPr>
              <w:rFonts w:hint="default"/>
            </w:rPr>
            <w:t xml:space="preserve">5.1.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_Toc23563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_Toc27978 </w:instrText>
          </w:r>
          <w:r>
            <w:fldChar w:fldCharType="separate"/>
          </w:r>
          <w:r>
            <w:rPr>
              <w:rFonts w:hint="default"/>
            </w:rPr>
            <w:t xml:space="preserve">5.2.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_Toc27978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_Toc12651 </w:instrText>
          </w:r>
          <w:r>
            <w:fldChar w:fldCharType="separate"/>
          </w:r>
          <w:r>
            <w:rPr>
              <w:rFonts w:hint="default"/>
              <w:szCs w:val="32"/>
            </w:rPr>
            <w:t xml:space="preserve">6. </w:t>
          </w:r>
          <w:r>
            <w:rPr>
              <w:rFonts w:hint="eastAsia"/>
              <w:szCs w:val="32"/>
              <w:lang w:val="en-US" w:eastAsia="zh-CN"/>
            </w:rPr>
            <w:t>押金租金</w:t>
          </w:r>
          <w:r>
            <w:rPr>
              <w:rFonts w:hint="eastAsia"/>
              <w:szCs w:val="32"/>
            </w:rPr>
            <w:t>退款方案确认</w:t>
          </w:r>
          <w:r>
            <w:tab/>
          </w:r>
          <w:r>
            <w:fldChar w:fldCharType="begin"/>
          </w:r>
          <w:r>
            <w:instrText xml:space="preserve"> PAGEREF _Toc12651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_Toc28060 </w:instrText>
          </w:r>
          <w:r>
            <w:fldChar w:fldCharType="separate"/>
          </w:r>
          <w:r>
            <w:rPr>
              <w:rFonts w:hint="default"/>
            </w:rPr>
            <w:t xml:space="preserve">6.1.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_Toc28060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_Toc3771 </w:instrText>
          </w:r>
          <w:r>
            <w:fldChar w:fldCharType="separate"/>
          </w:r>
          <w:r>
            <w:rPr>
              <w:rFonts w:hint="default"/>
            </w:rPr>
            <w:t xml:space="preserve">6.2.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_Toc3771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_Toc7163 </w:instrText>
          </w:r>
          <w:r>
            <w:fldChar w:fldCharType="separate"/>
          </w:r>
          <w:r>
            <w:rPr>
              <w:rFonts w:hint="default"/>
            </w:rPr>
            <w:t xml:space="preserve">6.2.1. </w:t>
          </w:r>
          <w:r>
            <w:rPr>
              <w:rFonts w:hint="eastAsia"/>
            </w:rPr>
            <w:t>待办、已办查看</w:t>
          </w:r>
          <w:r>
            <w:tab/>
          </w:r>
          <w:r>
            <w:fldChar w:fldCharType="begin"/>
          </w:r>
          <w:r>
            <w:instrText xml:space="preserve"> PAGEREF _Toc7163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_Toc3408 </w:instrText>
          </w:r>
          <w:r>
            <w:fldChar w:fldCharType="separate"/>
          </w:r>
          <w:r>
            <w:rPr>
              <w:rFonts w:hint="default"/>
            </w:rPr>
            <w:t xml:space="preserve">6.2.2. </w:t>
          </w:r>
          <w:r>
            <w:rPr>
              <w:rFonts w:hint="eastAsia"/>
            </w:rPr>
            <w:t>退款方案确认</w:t>
          </w:r>
          <w:r>
            <w:tab/>
          </w:r>
          <w:r>
            <w:fldChar w:fldCharType="begin"/>
          </w:r>
          <w:r>
            <w:instrText xml:space="preserve"> PAGEREF _Toc3408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_Toc27967 </w:instrText>
          </w:r>
          <w:r>
            <w:fldChar w:fldCharType="separate"/>
          </w:r>
          <w:r>
            <w:rPr>
              <w:rFonts w:hint="default"/>
            </w:rPr>
            <w:t xml:space="preserve">6.2.2.1. </w:t>
          </w:r>
          <w:r>
            <w:rPr>
              <w:rFonts w:hint="eastAsia"/>
            </w:rPr>
            <w:t>同意退款方案</w:t>
          </w:r>
          <w:r>
            <w:tab/>
          </w:r>
          <w:r>
            <w:fldChar w:fldCharType="begin"/>
          </w:r>
          <w:r>
            <w:instrText xml:space="preserve"> PAGEREF _Toc27967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_Toc29721 </w:instrText>
          </w:r>
          <w:r>
            <w:fldChar w:fldCharType="separate"/>
          </w:r>
          <w:r>
            <w:rPr>
              <w:rFonts w:hint="default"/>
            </w:rPr>
            <w:t xml:space="preserve">6.2.2.2. </w:t>
          </w:r>
          <w:r>
            <w:rPr>
              <w:rFonts w:hint="eastAsia"/>
            </w:rPr>
            <w:t>自行协商</w:t>
          </w:r>
          <w:r>
            <w:tab/>
          </w:r>
          <w:r>
            <w:fldChar w:fldCharType="begin"/>
          </w:r>
          <w:r>
            <w:instrText xml:space="preserve"> PAGEREF _Toc29721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_Toc25671 </w:instrText>
          </w:r>
          <w:r>
            <w:fldChar w:fldCharType="separate"/>
          </w:r>
          <w:r>
            <w:rPr>
              <w:rFonts w:hint="default"/>
            </w:rPr>
            <w:t xml:space="preserve">6.2.2.3. </w:t>
          </w:r>
          <w:r>
            <w:rPr>
              <w:rFonts w:hint="eastAsia"/>
            </w:rPr>
            <w:t>中介协会介入调解</w:t>
          </w:r>
          <w:r>
            <w:tab/>
          </w:r>
          <w:r>
            <w:fldChar w:fldCharType="begin"/>
          </w:r>
          <w:r>
            <w:instrText xml:space="preserve"> PAGEREF _Toc25671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_Toc23415 </w:instrText>
          </w:r>
          <w:r>
            <w:fldChar w:fldCharType="separate"/>
          </w:r>
          <w:r>
            <w:rPr>
              <w:rFonts w:hint="default"/>
            </w:rPr>
            <w:t xml:space="preserve">6.2.2.4. </w:t>
          </w:r>
          <w:r>
            <w:rPr>
              <w:rFonts w:hint="eastAsia"/>
            </w:rPr>
            <w:t>仲裁</w:t>
          </w:r>
          <w:r>
            <w:tab/>
          </w:r>
          <w:r>
            <w:fldChar w:fldCharType="begin"/>
          </w:r>
          <w:r>
            <w:instrText xml:space="preserve"> PAGEREF _Toc23415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_Toc23788 </w:instrText>
          </w:r>
          <w:r>
            <w:fldChar w:fldCharType="separate"/>
          </w:r>
          <w:r>
            <w:rPr>
              <w:rFonts w:hint="default"/>
            </w:rPr>
            <w:t xml:space="preserve">6.2.2.5. </w:t>
          </w:r>
          <w:r>
            <w:rPr>
              <w:rFonts w:hint="eastAsia"/>
            </w:rPr>
            <w:t>诉讼</w:t>
          </w:r>
          <w:r>
            <w:tab/>
          </w:r>
          <w:r>
            <w:fldChar w:fldCharType="begin"/>
          </w:r>
          <w:r>
            <w:instrText xml:space="preserve"> PAGEREF _Toc23788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_Toc10485 </w:instrText>
          </w:r>
          <w:r>
            <w:fldChar w:fldCharType="separate"/>
          </w:r>
          <w:r>
            <w:rPr>
              <w:rFonts w:hint="default"/>
            </w:rPr>
            <w:t xml:space="preserve">6.2.3. </w:t>
          </w:r>
          <w:r>
            <w:rPr>
              <w:rFonts w:hint="eastAsia"/>
              <w:highlight w:val="none"/>
            </w:rPr>
            <w:t>特殊情况</w:t>
          </w:r>
          <w:r>
            <w:tab/>
          </w:r>
          <w:r>
            <w:fldChar w:fldCharType="begin"/>
          </w:r>
          <w:r>
            <w:instrText xml:space="preserve"> PAGEREF _Toc10485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17"/>
        <w:numPr>
          <w:ilvl w:val="0"/>
          <w:numId w:val="2"/>
        </w:numPr>
        <w:spacing w:before="0" w:after="0"/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65" w:name="_Toc24562"/>
      <w:bookmarkStart w:id="66" w:name="_Toc19460"/>
      <w:bookmarkStart w:id="67" w:name="_Toc13820"/>
    </w:p>
    <w:p>
      <w:pPr>
        <w:pStyle w:val="17"/>
        <w:numPr>
          <w:ilvl w:val="0"/>
          <w:numId w:val="2"/>
        </w:numPr>
        <w:spacing w:before="0" w:after="0"/>
      </w:pPr>
      <w:bookmarkStart w:id="68" w:name="_Toc15302"/>
      <w:bookmarkStart w:id="69" w:name="_Toc30784"/>
      <w:r>
        <w:rPr>
          <w:rFonts w:hint="eastAsia"/>
        </w:rPr>
        <w:t>综述</w:t>
      </w:r>
      <w:bookmarkEnd w:id="65"/>
      <w:bookmarkEnd w:id="66"/>
      <w:bookmarkEnd w:id="67"/>
      <w:bookmarkEnd w:id="68"/>
      <w:bookmarkEnd w:id="69"/>
    </w:p>
    <w:p>
      <w:pPr>
        <w:pStyle w:val="18"/>
        <w:numPr>
          <w:ilvl w:val="1"/>
          <w:numId w:val="2"/>
        </w:numPr>
        <w:spacing w:before="0" w:after="0"/>
      </w:pPr>
      <w:bookmarkStart w:id="70" w:name="_Toc19094"/>
      <w:bookmarkStart w:id="71" w:name="_Toc4158"/>
      <w:bookmarkStart w:id="72" w:name="_Toc2418"/>
      <w:bookmarkStart w:id="73" w:name="_Toc22116"/>
      <w:r>
        <w:rPr>
          <w:rFonts w:hint="eastAsia"/>
        </w:rPr>
        <w:t>目的依据</w:t>
      </w:r>
      <w:bookmarkEnd w:id="70"/>
      <w:bookmarkEnd w:id="71"/>
      <w:bookmarkEnd w:id="72"/>
      <w:bookmarkEnd w:id="73"/>
    </w:p>
    <w:p>
      <w:pPr>
        <w:pStyle w:val="20"/>
        <w:spacing w:before="0" w:after="0"/>
        <w:ind w:firstLine="640"/>
      </w:pPr>
      <w:r>
        <w:rPr>
          <w:rFonts w:hint="eastAsia"/>
        </w:rPr>
        <w:t>依据《北京市住房租赁条例》及《北京市住房租赁押金托管和租金监管暂行办法》，为保护租赁当事人合法权益，促进住房租赁市场健康发展，北京市住房资金管理中心（以下简称资金中心）积极践行以人民为中心的发展思想，通过北京市住房租赁押金托管和租金监管系统（以下简称监管系统），实现对住房租赁押金托管和租金监管的管理。</w:t>
      </w:r>
    </w:p>
    <w:p>
      <w:pPr>
        <w:pStyle w:val="18"/>
        <w:numPr>
          <w:ilvl w:val="1"/>
          <w:numId w:val="2"/>
        </w:numPr>
        <w:spacing w:before="0" w:after="0"/>
      </w:pPr>
      <w:bookmarkStart w:id="74" w:name="_Toc19114"/>
      <w:bookmarkStart w:id="75" w:name="_Toc23540"/>
      <w:bookmarkStart w:id="76" w:name="_Toc30670"/>
      <w:bookmarkStart w:id="77" w:name="_Toc2520"/>
      <w:r>
        <w:rPr>
          <w:rFonts w:hint="eastAsia"/>
        </w:rPr>
        <w:t>适用范围</w:t>
      </w:r>
      <w:bookmarkEnd w:id="74"/>
      <w:bookmarkEnd w:id="75"/>
      <w:bookmarkEnd w:id="76"/>
      <w:bookmarkEnd w:id="77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本市</w:t>
      </w:r>
      <w:r>
        <w:rPr>
          <w:rFonts w:hint="eastAsia" w:ascii="仿宋_GB2312" w:hAnsi="仿宋_GB2312" w:eastAsia="仿宋_GB2312" w:cs="仿宋_GB2312"/>
          <w:highlight w:val="none"/>
        </w:rPr>
        <w:t>范围内承租他人住房从事转租业务的住房租赁企业，向承租人收取的押金、租金的托管、监管及监督管理，适用《办法》。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  <w:highlight w:val="yellow"/>
        </w:rPr>
      </w:pPr>
      <w:r>
        <w:rPr>
          <w:rFonts w:hint="eastAsia" w:ascii="仿宋_GB2312" w:hAnsi="仿宋_GB2312" w:eastAsia="仿宋_GB2312" w:cs="仿宋_GB2312"/>
          <w:highlight w:val="none"/>
        </w:rPr>
        <w:t>《办法》规定，押金应当按照住房租赁合同约定的押金支付时间、金额存入用于押金托管的账户；住房租赁合同约定预收租金数额超过3个月租金的，全部租金应当按合同约定的租金支付时间、金额缴存至租金监管账户。</w:t>
      </w:r>
    </w:p>
    <w:p>
      <w:pPr>
        <w:pStyle w:val="18"/>
        <w:numPr>
          <w:ilvl w:val="1"/>
          <w:numId w:val="2"/>
        </w:numPr>
        <w:spacing w:before="0" w:after="0"/>
      </w:pPr>
      <w:bookmarkStart w:id="78" w:name="_Toc8686"/>
      <w:bookmarkStart w:id="79" w:name="_Toc14895"/>
      <w:bookmarkStart w:id="80" w:name="_Toc29974"/>
      <w:bookmarkStart w:id="81" w:name="_Toc2870"/>
      <w:r>
        <w:rPr>
          <w:rFonts w:hint="eastAsia"/>
        </w:rPr>
        <w:t>系统介绍</w:t>
      </w:r>
      <w:bookmarkEnd w:id="78"/>
      <w:bookmarkEnd w:id="79"/>
      <w:bookmarkEnd w:id="80"/>
      <w:bookmarkEnd w:id="81"/>
    </w:p>
    <w:p>
      <w:pPr>
        <w:pStyle w:val="20"/>
        <w:spacing w:before="0" w:after="0"/>
        <w:ind w:firstLine="640"/>
      </w:pPr>
      <w:r>
        <w:rPr>
          <w:rFonts w:hint="eastAsia"/>
        </w:rPr>
        <w:t>【北京市住房租赁押金托管和租金监管系统】移动端基于京通小程序公积金业务模块</w:t>
      </w:r>
      <w:r>
        <w:rPr>
          <w:rFonts w:hint="eastAsia"/>
          <w:lang w:eastAsia="zh-CN"/>
        </w:rPr>
        <w:t>，是为承租人</w:t>
      </w:r>
      <w:r>
        <w:rPr>
          <w:rFonts w:hint="eastAsia"/>
          <w:lang w:val="en-US" w:eastAsia="zh-CN"/>
        </w:rPr>
        <w:t>提供住房租赁</w:t>
      </w:r>
      <w:r>
        <w:rPr>
          <w:rFonts w:hint="eastAsia"/>
          <w:lang w:eastAsia="zh-CN"/>
        </w:rPr>
        <w:t>押金托管和租金监管业务</w:t>
      </w:r>
      <w:r>
        <w:rPr>
          <w:rFonts w:hint="eastAsia"/>
          <w:lang w:val="en-US" w:eastAsia="zh-CN"/>
        </w:rPr>
        <w:t>办理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移动端</w:t>
      </w:r>
      <w:r>
        <w:rPr>
          <w:rFonts w:hint="eastAsia"/>
          <w:lang w:eastAsia="zh-CN"/>
        </w:rPr>
        <w:t>操作系统</w:t>
      </w:r>
      <w:r>
        <w:rPr>
          <w:rFonts w:hint="eastAsia"/>
        </w:rPr>
        <w:t>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承租人京通端主要包含</w:t>
      </w:r>
      <w:r>
        <w:rPr>
          <w:rFonts w:hint="eastAsia"/>
          <w:lang w:val="en-US" w:eastAsia="zh-CN"/>
        </w:rPr>
        <w:t>租押金</w:t>
      </w:r>
      <w:r>
        <w:rPr>
          <w:rFonts w:hint="eastAsia"/>
        </w:rPr>
        <w:t>缴纳订单查询、</w:t>
      </w:r>
      <w:r>
        <w:rPr>
          <w:rFonts w:hint="eastAsia"/>
          <w:lang w:val="en-US" w:eastAsia="zh-CN"/>
        </w:rPr>
        <w:t>租押金</w:t>
      </w:r>
      <w:r>
        <w:rPr>
          <w:rFonts w:hint="eastAsia"/>
        </w:rPr>
        <w:t>余额查询、</w:t>
      </w:r>
      <w:r>
        <w:rPr>
          <w:rFonts w:hint="eastAsia"/>
          <w:lang w:val="en-US" w:eastAsia="zh-CN"/>
        </w:rPr>
        <w:t>租押金</w:t>
      </w:r>
      <w:r>
        <w:rPr>
          <w:rFonts w:hint="eastAsia"/>
        </w:rPr>
        <w:t>退款方案确认功能，承租人可以按需登录并办理相关业务。</w:t>
      </w:r>
    </w:p>
    <w:p>
      <w:pPr>
        <w:pStyle w:val="17"/>
        <w:numPr>
          <w:ilvl w:val="0"/>
          <w:numId w:val="2"/>
        </w:numPr>
        <w:spacing w:before="0" w:after="0"/>
      </w:pPr>
      <w:bookmarkStart w:id="82" w:name="_Toc17641"/>
      <w:bookmarkStart w:id="83" w:name="_Toc10471"/>
      <w:bookmarkStart w:id="84" w:name="_Toc12094"/>
      <w:bookmarkStart w:id="85" w:name="_Toc19785"/>
      <w:r>
        <w:rPr>
          <w:rFonts w:hint="eastAsia"/>
        </w:rPr>
        <w:t>登录</w:t>
      </w:r>
      <w:bookmarkEnd w:id="82"/>
      <w:bookmarkEnd w:id="83"/>
      <w:bookmarkEnd w:id="84"/>
      <w:bookmarkEnd w:id="85"/>
    </w:p>
    <w:p>
      <w:pPr>
        <w:pStyle w:val="20"/>
        <w:spacing w:before="0" w:after="0"/>
        <w:ind w:firstLine="640"/>
      </w:pPr>
      <w:r>
        <w:t>承租人</w:t>
      </w:r>
      <w:r>
        <w:rPr>
          <w:rFonts w:hint="eastAsia" w:ascii="仿宋_GB2312" w:hAnsi="仿宋_GB2312" w:eastAsia="仿宋_GB2312" w:cs="仿宋_GB2312"/>
        </w:rPr>
        <w:t>进入</w:t>
      </w:r>
      <w:r>
        <w:rPr>
          <w:rFonts w:hint="eastAsia" w:ascii="仿宋_GB2312" w:hAnsi="仿宋_GB2312" w:eastAsia="仿宋_GB2312" w:cs="仿宋_GB2312"/>
          <w:highlight w:val="none"/>
        </w:rPr>
        <w:t>微信、</w:t>
      </w:r>
      <w:r>
        <w:rPr>
          <w:rFonts w:hint="eastAsia" w:ascii="仿宋_GB2312" w:hAnsi="仿宋_GB2312" w:eastAsia="仿宋_GB2312" w:cs="仿宋_GB2312"/>
        </w:rPr>
        <w:t>支付宝、百度APP，搜索关键字“京通”，点击进入“京通”小程序，完成个人身份实</w:t>
      </w:r>
      <w:r>
        <w:rPr>
          <w:rFonts w:hint="eastAsia"/>
        </w:rPr>
        <w:t>名认证后，</w:t>
      </w:r>
      <w:r>
        <w:rPr>
          <w:rFonts w:hint="eastAsia"/>
          <w:highlight w:val="none"/>
        </w:rPr>
        <w:t>选择【公积金】，点击【</w:t>
      </w:r>
      <w:r>
        <w:rPr>
          <w:rFonts w:hint="eastAsia"/>
          <w:highlight w:val="none"/>
          <w:lang w:val="en-US" w:eastAsia="zh-CN"/>
        </w:rPr>
        <w:t>住房租赁押金 租金</w:t>
      </w:r>
      <w:r>
        <w:rPr>
          <w:rFonts w:hint="eastAsia"/>
          <w:highlight w:val="none"/>
        </w:rPr>
        <w:t>】</w:t>
      </w:r>
      <w:r>
        <w:t>，</w:t>
      </w:r>
      <w:r>
        <w:rPr>
          <w:rFonts w:hint="eastAsia"/>
        </w:rPr>
        <w:t>进入监管系统移动端首页，</w:t>
      </w:r>
      <w:r>
        <w:t>展示租押金监管业务相关功能菜单。</w:t>
      </w:r>
    </w:p>
    <w:p>
      <w:pPr>
        <w:pStyle w:val="20"/>
        <w:spacing w:before="0" w:after="0"/>
        <w:ind w:firstLine="640"/>
      </w:pPr>
      <w:r>
        <w:t>首次使用租押金监管业务相关功能，系统弹出《</w:t>
      </w:r>
      <w:r>
        <w:rPr>
          <w:rFonts w:hint="eastAsia"/>
        </w:rPr>
        <w:t>用户须知</w:t>
      </w:r>
      <w:r>
        <w:t>》，认真阅读合约后，拉至合约底部，在倒计时结束后点击【同意】，进入相关功能。若不同意，点击【返回】。</w:t>
      </w:r>
    </w:p>
    <w:p>
      <w:pPr>
        <w:pStyle w:val="17"/>
        <w:numPr>
          <w:ilvl w:val="0"/>
          <w:numId w:val="2"/>
        </w:numPr>
        <w:spacing w:before="0" w:after="0"/>
      </w:pPr>
      <w:bookmarkStart w:id="86" w:name="_Toc20689"/>
      <w:bookmarkStart w:id="87" w:name="_Toc63"/>
      <w:bookmarkStart w:id="88" w:name="_Toc5389"/>
      <w:bookmarkStart w:id="89" w:name="_Toc1739"/>
      <w:r>
        <w:rPr>
          <w:rFonts w:hint="eastAsia"/>
          <w:lang w:val="en-US" w:eastAsia="zh-CN"/>
        </w:rPr>
        <w:t>押金租金</w:t>
      </w:r>
      <w:r>
        <w:rPr>
          <w:rFonts w:hint="eastAsia"/>
        </w:rPr>
        <w:t>缴纳订单查询</w:t>
      </w:r>
      <w:bookmarkEnd w:id="86"/>
      <w:bookmarkEnd w:id="87"/>
      <w:bookmarkEnd w:id="88"/>
      <w:bookmarkEnd w:id="89"/>
    </w:p>
    <w:p>
      <w:pPr>
        <w:pStyle w:val="18"/>
        <w:numPr>
          <w:ilvl w:val="1"/>
          <w:numId w:val="2"/>
        </w:numPr>
        <w:spacing w:before="0" w:after="0"/>
      </w:pPr>
      <w:bookmarkStart w:id="90" w:name="_Toc16329"/>
      <w:bookmarkStart w:id="91" w:name="_Toc21538"/>
      <w:bookmarkStart w:id="92" w:name="_Toc28380"/>
      <w:bookmarkStart w:id="93" w:name="_Toc46"/>
      <w:r>
        <w:rPr>
          <w:rFonts w:hint="eastAsia"/>
        </w:rPr>
        <w:t>功能说明</w:t>
      </w:r>
      <w:bookmarkEnd w:id="90"/>
      <w:bookmarkEnd w:id="91"/>
      <w:bookmarkEnd w:id="92"/>
      <w:bookmarkEnd w:id="93"/>
    </w:p>
    <w:p>
      <w:pPr>
        <w:pStyle w:val="20"/>
        <w:spacing w:before="0" w:after="0"/>
        <w:ind w:firstLine="640"/>
      </w:pPr>
      <w:r>
        <w:rPr>
          <w:rFonts w:hint="eastAsia" w:ascii="仿宋_GB2312" w:hAnsi="仿宋_GB2312" w:eastAsia="仿宋_GB2312" w:cs="仿宋_GB2312"/>
        </w:rPr>
        <w:t>承租人登录后，可在该功能中查看本人缴纳账单所生成的订单及明细。缴纳过程中如出现异常退出等情况，可通过该功能查看订单状态并重启缴纳流程。</w:t>
      </w:r>
    </w:p>
    <w:p>
      <w:pPr>
        <w:pStyle w:val="18"/>
        <w:numPr>
          <w:ilvl w:val="1"/>
          <w:numId w:val="2"/>
        </w:numPr>
        <w:spacing w:before="0" w:after="0"/>
      </w:pPr>
      <w:bookmarkStart w:id="94" w:name="_Toc27725"/>
      <w:bookmarkStart w:id="95" w:name="_Toc15497"/>
      <w:bookmarkStart w:id="96" w:name="_Toc16758"/>
      <w:bookmarkStart w:id="97" w:name="_Toc1125"/>
      <w:r>
        <w:rPr>
          <w:rFonts w:hint="eastAsia"/>
        </w:rPr>
        <w:t>办理程序</w:t>
      </w:r>
      <w:bookmarkEnd w:id="94"/>
      <w:bookmarkEnd w:id="95"/>
      <w:bookmarkEnd w:id="96"/>
      <w:bookmarkEnd w:id="97"/>
    </w:p>
    <w:p>
      <w:pPr>
        <w:pStyle w:val="20"/>
        <w:spacing w:before="0" w:after="0"/>
        <w:ind w:firstLine="640"/>
      </w:pPr>
      <w:r>
        <w:rPr>
          <w:rFonts w:hint="eastAsia"/>
        </w:rPr>
        <w:t>承租人登录京通小程序后，点击</w:t>
      </w:r>
      <w:r>
        <w:rPr>
          <w:rFonts w:hint="eastAsia"/>
          <w:highlight w:val="none"/>
        </w:rPr>
        <w:t>【公积金】-【</w:t>
      </w:r>
      <w:r>
        <w:rPr>
          <w:rFonts w:hint="eastAsia"/>
          <w:highlight w:val="none"/>
          <w:lang w:val="en-US" w:eastAsia="zh-CN"/>
        </w:rPr>
        <w:t>住房租赁押金 租金</w:t>
      </w:r>
      <w:r>
        <w:rPr>
          <w:rFonts w:hint="eastAsia"/>
          <w:highlight w:val="none"/>
        </w:rPr>
        <w:t>】-【</w:t>
      </w:r>
      <w:r>
        <w:rPr>
          <w:rFonts w:hint="eastAsia"/>
          <w:highlight w:val="none"/>
          <w:lang w:val="en-US" w:eastAsia="zh-CN"/>
        </w:rPr>
        <w:t>押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金 租金</w:t>
      </w:r>
      <w:r>
        <w:rPr>
          <w:rFonts w:hint="eastAsia" w:ascii="仿宋_GB2312" w:hAnsi="仿宋_GB2312" w:eastAsia="仿宋_GB2312" w:cs="仿宋_GB2312"/>
          <w:highlight w:val="none"/>
        </w:rPr>
        <w:t>缴纳订单查询】</w:t>
      </w:r>
      <w:r>
        <w:rPr>
          <w:rFonts w:hint="eastAsia" w:ascii="仿宋_GB2312" w:hAnsi="仿宋_GB2312" w:eastAsia="仿宋_GB2312" w:cs="仿宋_GB2312"/>
        </w:rPr>
        <w:t>，进入订单查询页面（如图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.2.1所示），默认展示承租人进行缴纳账单时所生成的所有状态的订单，订单类</w:t>
      </w:r>
      <w:r>
        <w:rPr>
          <w:rFonts w:hint="eastAsia"/>
        </w:rPr>
        <w:t>型为承租人缴纳订单。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350770" cy="3731260"/>
            <wp:effectExtent l="0" t="0" r="0" b="0"/>
            <wp:docPr id="1" name="图片 1" descr="C:\Users\13683\Desktop\写写写\截图\京通\订单1.jpg订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3683\Desktop\写写写\截图\京通\订单1.jpg订单1"/>
                    <pic:cNvPicPr>
                      <a:picLocks noChangeAspect="1"/>
                    </pic:cNvPicPr>
                  </pic:nvPicPr>
                  <pic:blipFill>
                    <a:blip r:embed="rId6"/>
                    <a:srcRect l="12" t="6164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.2.1缴纳订单查询</w:t>
      </w:r>
    </w:p>
    <w:p>
      <w:pPr>
        <w:pStyle w:val="20"/>
        <w:spacing w:before="0" w:after="0"/>
        <w:ind w:firstLine="640"/>
      </w:pPr>
      <w:r>
        <w:t>可依据</w:t>
      </w:r>
      <w:r>
        <w:rPr>
          <w:rFonts w:hint="eastAsia"/>
        </w:rPr>
        <w:t>“合同备案编号”</w:t>
      </w:r>
      <w:r>
        <w:t>、</w:t>
      </w:r>
      <w:r>
        <w:rPr>
          <w:rFonts w:hint="eastAsia"/>
        </w:rPr>
        <w:t>“订单</w:t>
      </w:r>
      <w:r>
        <w:t>编号</w:t>
      </w:r>
      <w:r>
        <w:rPr>
          <w:rFonts w:hint="eastAsia"/>
        </w:rPr>
        <w:t>”</w:t>
      </w:r>
      <w:r>
        <w:t>查询</w:t>
      </w:r>
      <w:r>
        <w:rPr>
          <w:rFonts w:hint="eastAsia"/>
        </w:rPr>
        <w:t>，输入编号后提交</w:t>
      </w:r>
      <w:r>
        <w:t>，即可查询</w:t>
      </w:r>
      <w:r>
        <w:rPr>
          <w:rFonts w:hint="eastAsia"/>
        </w:rPr>
        <w:t>订单</w:t>
      </w:r>
      <w:r>
        <w:t>。清空所输内容</w:t>
      </w:r>
      <w:r>
        <w:rPr>
          <w:rFonts w:hint="eastAsia"/>
        </w:rPr>
        <w:t>后提交，重置查询结果</w:t>
      </w:r>
      <w:r>
        <w:t>。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98" w:name="_Toc8519"/>
      <w:bookmarkStart w:id="99" w:name="_Toc11696"/>
      <w:bookmarkStart w:id="100" w:name="_Toc21454"/>
      <w:bookmarkStart w:id="101" w:name="_Toc6747"/>
      <w:r>
        <w:rPr>
          <w:rFonts w:hint="eastAsia" w:ascii="仿宋_GB2312" w:hAnsi="仿宋_GB2312" w:eastAsia="仿宋_GB2312" w:cs="仿宋_GB2312"/>
          <w:b/>
          <w:bCs/>
        </w:rPr>
        <w:t>订单状态</w:t>
      </w:r>
      <w:bookmarkEnd w:id="98"/>
      <w:bookmarkEnd w:id="99"/>
      <w:bookmarkEnd w:id="100"/>
      <w:bookmarkEnd w:id="101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订单状态包括：待确认、支付中、成功、失败、取消、已监管。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1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待确认：缴款过程中，已生成订单但未选择缴纳方式时异常退出页面，该笔订单处于“待确认”状态，如10分钟内无操作，“待确认”状态订单将自动取消。承租人可重新发起支付（具体流程见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.2.4去缴款），或手动取消订单（具体流程见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.2.5取消订单）。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2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支付中：已生成订单并选择缴纳方式，订单状态更新为支付中。选择支付宝支付缴纳时如异常退出，承租人可重新缴款（具体流程见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.2.3继续缴纳）。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3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成功：选择支付宝支付缴纳的订单，承租人支付成功后，订单状态更新为成功。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4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失败：选择支付宝支付缴纳的订单，承租人支付失败后，订单状态更新为失败。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5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取消：待确认状态订单超过10分钟未处理将自动更新为取消状态；选择支付宝支付缴纳的支付中订单，</w:t>
      </w:r>
      <w:r>
        <w:rPr>
          <w:rFonts w:hint="eastAsia" w:ascii="仿宋_GB2312" w:hAnsi="仿宋_GB2312" w:eastAsia="仿宋_GB2312" w:cs="仿宋_GB2312"/>
          <w:highlight w:val="none"/>
        </w:rPr>
        <w:t>超过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highlight w:val="none"/>
        </w:rPr>
        <w:t>分钟</w:t>
      </w:r>
      <w:r>
        <w:rPr>
          <w:rFonts w:hint="eastAsia" w:ascii="仿宋_GB2312" w:hAnsi="仿宋_GB2312" w:eastAsia="仿宋_GB2312" w:cs="仿宋_GB2312"/>
        </w:rPr>
        <w:t>未支付成功将自动更新为取消状态；承租人手动取消的订单自动更新为取消状态。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6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已监管：支付宝支付方式缴纳的监管资金于次日到达市资金中心押金托管、租金监管账户，银行汇款缴纳的监管资金实时到达市资金中心押金托管、租金监管账户。资金确认入账后，监管系统发送短信通知至承租人，同时订单状态更新为已监管。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02" w:name="_Toc2082"/>
      <w:bookmarkStart w:id="103" w:name="_Toc27987"/>
      <w:bookmarkStart w:id="104" w:name="_Toc5989"/>
      <w:bookmarkStart w:id="105" w:name="_Toc8741"/>
      <w:r>
        <w:rPr>
          <w:rFonts w:hint="eastAsia" w:ascii="仿宋_GB2312" w:hAnsi="仿宋_GB2312" w:eastAsia="仿宋_GB2312" w:cs="仿宋_GB2312"/>
          <w:b/>
          <w:bCs/>
        </w:rPr>
        <w:t>订单详情</w:t>
      </w:r>
      <w:bookmarkEnd w:id="102"/>
      <w:bookmarkEnd w:id="103"/>
      <w:bookmarkEnd w:id="104"/>
      <w:bookmarkEnd w:id="105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点击所选订单，进入缴纳订单详情页面（如图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.2.2所示），展示订单基础信息、缴纳方式、付款方信息（仅缴纳方式为银行汇款的已监管状态订单显示）、收款方信息（仅缴纳方式为银行汇款的订单显示）、订单明细。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118360" cy="3538855"/>
            <wp:effectExtent l="0" t="0" r="0" b="0"/>
            <wp:docPr id="22" name="图片 22" descr="订单-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订单-详情"/>
                    <pic:cNvPicPr>
                      <a:picLocks noChangeAspect="1"/>
                    </pic:cNvPicPr>
                  </pic:nvPicPr>
                  <pic:blipFill>
                    <a:blip r:embed="rId7"/>
                    <a:srcRect t="6210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 w:firstLineChars="200"/>
        <w:jc w:val="center"/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.2.2缴纳订单查询-详情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06" w:name="_Toc23201"/>
      <w:bookmarkStart w:id="107" w:name="_Toc5543"/>
      <w:bookmarkStart w:id="108" w:name="_Toc10599"/>
      <w:bookmarkStart w:id="109" w:name="_Toc2316"/>
      <w:r>
        <w:rPr>
          <w:rFonts w:hint="eastAsia" w:ascii="仿宋_GB2312" w:hAnsi="仿宋_GB2312" w:eastAsia="仿宋_GB2312" w:cs="仿宋_GB2312"/>
          <w:b/>
          <w:bCs/>
        </w:rPr>
        <w:t>继续缴纳</w:t>
      </w:r>
      <w:bookmarkEnd w:id="106"/>
      <w:bookmarkEnd w:id="107"/>
      <w:bookmarkEnd w:id="108"/>
      <w:bookmarkEnd w:id="109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缴纳方式为支付宝支付的</w:t>
      </w:r>
      <w:r>
        <w:rPr>
          <w:rFonts w:hint="eastAsia" w:ascii="仿宋_GB2312" w:hAnsi="仿宋_GB2312" w:eastAsia="仿宋_GB2312" w:cs="仿宋_GB2312"/>
          <w:lang w:eastAsia="zh-CN"/>
        </w:rPr>
        <w:t>“</w:t>
      </w:r>
      <w:r>
        <w:rPr>
          <w:rFonts w:hint="eastAsia" w:ascii="仿宋_GB2312" w:hAnsi="仿宋_GB2312" w:eastAsia="仿宋_GB2312" w:cs="仿宋_GB2312"/>
        </w:rPr>
        <w:t>支付中</w:t>
      </w:r>
      <w:r>
        <w:rPr>
          <w:rFonts w:hint="eastAsia" w:ascii="仿宋_GB2312" w:hAnsi="仿宋_GB2312" w:eastAsia="仿宋_GB2312" w:cs="仿宋_GB2312"/>
          <w:lang w:eastAsia="zh-CN"/>
        </w:rPr>
        <w:t>”</w:t>
      </w:r>
      <w:r>
        <w:rPr>
          <w:rFonts w:hint="eastAsia" w:ascii="仿宋_GB2312" w:hAnsi="仿宋_GB2312" w:eastAsia="仿宋_GB2312" w:cs="仿宋_GB2312"/>
        </w:rPr>
        <w:t>订单，可重新联动缴款，点击缴纳订单查询页面中所选订单下方【继续缴纳】，进入订单详情页面（如图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.2.3.1所示），点击下方【继续缴纳】，跳转至该订单对应的APP支付页面，承租人支付后系统展示支付结果。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401570" cy="4267835"/>
            <wp:effectExtent l="0" t="0" r="0" b="0"/>
            <wp:docPr id="14" name="图片 14" descr="继续缴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继续缴纳"/>
                    <pic:cNvPicPr>
                      <a:picLocks noChangeAspect="1"/>
                    </pic:cNvPicPr>
                  </pic:nvPicPr>
                  <pic:blipFill>
                    <a:blip r:embed="rId8"/>
                    <a:srcRect t="5231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.2.3.1【继续缴纳】订单详情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10" w:name="_Toc18975"/>
      <w:bookmarkStart w:id="111" w:name="_Toc30853"/>
      <w:bookmarkStart w:id="112" w:name="_Toc20089"/>
      <w:bookmarkStart w:id="113" w:name="_Toc10326"/>
      <w:r>
        <w:rPr>
          <w:rFonts w:hint="eastAsia" w:ascii="仿宋_GB2312" w:hAnsi="仿宋_GB2312" w:eastAsia="仿宋_GB2312" w:cs="仿宋_GB2312"/>
          <w:b/>
          <w:bCs/>
        </w:rPr>
        <w:t>去缴款</w:t>
      </w:r>
      <w:bookmarkEnd w:id="110"/>
      <w:bookmarkEnd w:id="111"/>
      <w:bookmarkEnd w:id="112"/>
      <w:bookmarkEnd w:id="113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“待确认”状态的订单，可重新发起支付，点击缴纳订单查询页面（如图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.2.4.1所示）中所选订单下方【去缴款】，进入订单详情页面（如图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.2.4.2所示）。点击下方【去缴款】，弹出付款提示（如图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.2.4.3所示），选择支付方式并提交，跳转至对应的APP支付页面，承租人支付后系统展示支付结果。</w:t>
      </w:r>
    </w:p>
    <w:p>
      <w:pPr>
        <w:pStyle w:val="2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095500" cy="2219960"/>
            <wp:effectExtent l="0" t="0" r="0" b="8890"/>
            <wp:docPr id="3" name="图片 3" descr="待确认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待确认首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.2.4.1【去缴款】缴纳订单查询</w:t>
      </w:r>
    </w:p>
    <w:p>
      <w:pPr>
        <w:pStyle w:val="20"/>
        <w:spacing w:line="240" w:lineRule="auto"/>
        <w:ind w:firstLine="0" w:firstLineChars="0"/>
      </w:pPr>
      <w:r>
        <w:drawing>
          <wp:inline distT="0" distB="0" distL="114300" distR="114300">
            <wp:extent cx="2115820" cy="3895090"/>
            <wp:effectExtent l="0" t="0" r="8255" b="635"/>
            <wp:docPr id="4" name="图片 4" descr="待确认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待确认详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2200275" cy="3883660"/>
            <wp:effectExtent l="0" t="0" r="0" b="2540"/>
            <wp:docPr id="5" name="图片 5" descr="C:\Users\13683\Desktop\写写写\截图\京通\订单\待确认去缴款-改.jpg待确认去缴款-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683\Desktop\写写写\截图\京通\订单\待确认去缴款-改.jpg待确认去缴款-改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.2.4.2【去缴纳】订单详情      </w:t>
      </w: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.2.4.3【去缴纳】收银台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14" w:name="_Toc23423"/>
      <w:bookmarkStart w:id="115" w:name="_Toc15055"/>
      <w:bookmarkStart w:id="116" w:name="_Toc29861"/>
      <w:bookmarkStart w:id="117" w:name="_Toc10897"/>
      <w:r>
        <w:rPr>
          <w:rFonts w:hint="eastAsia" w:ascii="仿宋_GB2312" w:hAnsi="仿宋_GB2312" w:eastAsia="仿宋_GB2312" w:cs="仿宋_GB2312"/>
          <w:b/>
          <w:bCs/>
        </w:rPr>
        <w:t>取消订单</w:t>
      </w:r>
      <w:bookmarkEnd w:id="114"/>
      <w:bookmarkEnd w:id="115"/>
      <w:bookmarkEnd w:id="116"/>
      <w:bookmarkEnd w:id="117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“待确认”状态的银行汇款订单，承租人可主动取消订单，点击缴纳订单查询页面中所选订单下方【取消订单】，系统提示“确认取消该订单？”（如图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.2.5.1所示），点击【</w:t>
      </w:r>
      <w:r>
        <w:rPr>
          <w:rFonts w:hint="eastAsia" w:ascii="仿宋_GB2312" w:hAnsi="仿宋_GB2312" w:eastAsia="仿宋_GB2312" w:cs="仿宋_GB2312"/>
        </w:rPr>
        <w:tab/>
      </w:r>
      <w:r>
        <w:rPr>
          <w:rFonts w:hint="eastAsia" w:ascii="仿宋_GB2312" w:hAnsi="仿宋_GB2312" w:eastAsia="仿宋_GB2312" w:cs="仿宋_GB2312"/>
        </w:rPr>
        <w:t>确定取消】，正式取消订单；点击【取消】，取消操作。或进入订单详情页面（如图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.2.5.2所示），点击下方【取消订单】，订单取消。</w:t>
      </w:r>
    </w:p>
    <w:p>
      <w:pPr>
        <w:pStyle w:val="2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1844675" cy="3854450"/>
            <wp:effectExtent l="0" t="0" r="952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38960" cy="387096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.2.5.1【取消订单】缴纳订单查询</w:t>
      </w:r>
    </w:p>
    <w:p>
      <w:pPr>
        <w:jc w:val="left"/>
      </w:pPr>
      <w:r>
        <w:rPr>
          <w:rFonts w:hint="eastAsia"/>
        </w:rPr>
        <w:t xml:space="preserve">                          </w:t>
      </w:r>
      <w:r>
        <w:drawing>
          <wp:inline distT="0" distB="0" distL="114300" distR="114300">
            <wp:extent cx="1823720" cy="3838575"/>
            <wp:effectExtent l="0" t="0" r="508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Theme="minorEastAsia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.2.5.2【取消订单】订单详情</w:t>
      </w:r>
    </w:p>
    <w:p>
      <w:pPr>
        <w:pStyle w:val="17"/>
        <w:numPr>
          <w:ilvl w:val="0"/>
          <w:numId w:val="2"/>
        </w:numPr>
        <w:spacing w:before="0" w:after="0"/>
      </w:pPr>
      <w:bookmarkStart w:id="118" w:name="_Toc1173"/>
      <w:bookmarkStart w:id="119" w:name="_Toc15145"/>
      <w:bookmarkStart w:id="120" w:name="_Toc15453"/>
      <w:bookmarkStart w:id="121" w:name="_Toc17040"/>
      <w:r>
        <w:rPr>
          <w:rFonts w:hint="eastAsia"/>
        </w:rPr>
        <w:t>网签直缴</w:t>
      </w:r>
      <w:bookmarkEnd w:id="118"/>
      <w:bookmarkEnd w:id="119"/>
      <w:bookmarkEnd w:id="120"/>
      <w:bookmarkEnd w:id="121"/>
    </w:p>
    <w:p>
      <w:pPr>
        <w:pStyle w:val="18"/>
        <w:numPr>
          <w:ilvl w:val="1"/>
          <w:numId w:val="2"/>
        </w:numPr>
        <w:spacing w:before="0" w:after="0"/>
        <w:rPr>
          <w:rFonts w:hint="eastAsia" w:ascii="楷体_GB2312" w:hAnsi="楷体_GB2312" w:eastAsia="楷体_GB2312" w:cs="楷体_GB2312"/>
        </w:rPr>
      </w:pPr>
      <w:bookmarkStart w:id="122" w:name="_Toc8372"/>
      <w:bookmarkStart w:id="123" w:name="_Toc14456"/>
      <w:bookmarkStart w:id="124" w:name="_Toc3276"/>
      <w:bookmarkStart w:id="125" w:name="_Toc2863"/>
      <w:r>
        <w:rPr>
          <w:rFonts w:hint="eastAsia" w:ascii="楷体_GB2312" w:hAnsi="楷体_GB2312" w:eastAsia="楷体_GB2312" w:cs="楷体_GB2312"/>
        </w:rPr>
        <w:t>功能说明</w:t>
      </w:r>
      <w:bookmarkEnd w:id="122"/>
      <w:bookmarkEnd w:id="123"/>
      <w:bookmarkEnd w:id="124"/>
      <w:bookmarkEnd w:id="125"/>
    </w:p>
    <w:p>
      <w:pPr>
        <w:pStyle w:val="20"/>
        <w:spacing w:before="0" w:after="0"/>
        <w:ind w:firstLine="640"/>
      </w:pPr>
      <w:r>
        <w:rPr>
          <w:rFonts w:hint="eastAsia"/>
        </w:rPr>
        <w:t>承租人可在</w:t>
      </w:r>
      <w:r>
        <w:rPr>
          <w:rFonts w:hint="eastAsia"/>
          <w:highlight w:val="none"/>
        </w:rPr>
        <w:t>“北京市房屋租赁服务平台”</w:t>
      </w:r>
      <w:r>
        <w:rPr>
          <w:rFonts w:hint="eastAsia"/>
        </w:rPr>
        <w:t>完成住房租赁合同网签备案后，联动至监管系统缴纳监管资金。网签直缴方式可实现承租人直接缴款至市资金中心押金托管、租金监管</w:t>
      </w:r>
      <w:r>
        <w:t>账户</w:t>
      </w:r>
      <w:r>
        <w:rPr>
          <w:rFonts w:hint="eastAsia"/>
        </w:rPr>
        <w:t>。</w:t>
      </w:r>
    </w:p>
    <w:p>
      <w:pPr>
        <w:pStyle w:val="18"/>
        <w:numPr>
          <w:ilvl w:val="1"/>
          <w:numId w:val="2"/>
        </w:numPr>
        <w:spacing w:before="0" w:after="0"/>
        <w:rPr>
          <w:rFonts w:hint="eastAsia" w:ascii="楷体_GB2312" w:hAnsi="楷体_GB2312" w:eastAsia="楷体_GB2312" w:cs="楷体_GB2312"/>
        </w:rPr>
      </w:pPr>
      <w:bookmarkStart w:id="126" w:name="_Toc32559"/>
      <w:bookmarkStart w:id="127" w:name="_Toc32464"/>
      <w:bookmarkStart w:id="128" w:name="_Toc507"/>
      <w:bookmarkStart w:id="129" w:name="_Toc7648"/>
      <w:r>
        <w:rPr>
          <w:rFonts w:hint="eastAsia" w:ascii="楷体_GB2312" w:hAnsi="楷体_GB2312" w:eastAsia="楷体_GB2312" w:cs="楷体_GB2312"/>
        </w:rPr>
        <w:t>办理程序</w:t>
      </w:r>
      <w:bookmarkEnd w:id="126"/>
      <w:bookmarkEnd w:id="127"/>
      <w:bookmarkEnd w:id="128"/>
      <w:bookmarkEnd w:id="129"/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87" w:name="_GoBack"/>
      <w:bookmarkEnd w:id="187"/>
      <w:bookmarkStart w:id="130" w:name="_Toc10930"/>
      <w:bookmarkStart w:id="131" w:name="_Toc7805"/>
      <w:bookmarkStart w:id="132" w:name="_Toc31372"/>
      <w:bookmarkStart w:id="133" w:name="_Toc32152"/>
      <w:r>
        <w:rPr>
          <w:rFonts w:hint="eastAsia" w:ascii="仿宋_GB2312" w:hAnsi="仿宋_GB2312" w:eastAsia="仿宋_GB2312" w:cs="仿宋_GB2312"/>
          <w:b/>
          <w:bCs/>
        </w:rPr>
        <w:t>网签</w:t>
      </w:r>
      <w:bookmarkEnd w:id="130"/>
      <w:bookmarkEnd w:id="131"/>
      <w:bookmarkEnd w:id="132"/>
      <w:bookmarkEnd w:id="133"/>
    </w:p>
    <w:p>
      <w:pPr>
        <w:pStyle w:val="20"/>
        <w:spacing w:before="0" w:after="0"/>
        <w:ind w:firstLine="640"/>
      </w:pPr>
      <w:r>
        <w:rPr>
          <w:rFonts w:hint="eastAsia"/>
        </w:rPr>
        <w:t>企业</w:t>
      </w:r>
      <w:r>
        <w:t>于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北京市房屋租赁服务平台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完成合同备案后</w:t>
      </w:r>
      <w:r>
        <w:t>，</w:t>
      </w:r>
      <w:r>
        <w:rPr>
          <w:rFonts w:hint="eastAsia"/>
        </w:rPr>
        <w:t>承租人可登录京通小程</w:t>
      </w:r>
      <w:r>
        <w:rPr>
          <w:rFonts w:hint="eastAsia"/>
          <w:highlight w:val="none"/>
        </w:rPr>
        <w:t>序，进入【住房服务】</w:t>
      </w:r>
      <w:r>
        <w:rPr>
          <w:highlight w:val="none"/>
        </w:rPr>
        <w:t>-</w:t>
      </w:r>
      <w:r>
        <w:rPr>
          <w:rFonts w:hint="eastAsia"/>
          <w:highlight w:val="none"/>
        </w:rPr>
        <w:t>【我是租户】</w:t>
      </w:r>
      <w:r>
        <w:rPr>
          <w:highlight w:val="none"/>
        </w:rPr>
        <w:t>-</w:t>
      </w:r>
      <w:r>
        <w:rPr>
          <w:rFonts w:hint="eastAsia"/>
          <w:highlight w:val="none"/>
        </w:rPr>
        <w:t>【合同备案】查看</w:t>
      </w:r>
      <w:r>
        <w:rPr>
          <w:rFonts w:hint="eastAsia"/>
        </w:rPr>
        <w:t>备案合同信息</w:t>
      </w:r>
      <w:r>
        <w:rPr>
          <w:rFonts w:hint="eastAsia" w:ascii="仿宋_GB2312" w:hAnsi="仿宋_GB2312" w:eastAsia="仿宋_GB2312" w:cs="仿宋_GB2312"/>
        </w:rPr>
        <w:t>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.2.1.1所示），点击【租押金监管】-【去支付】（如图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.2.1.2所示）。确认提示信息后（如图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.2.1.3所示），</w:t>
      </w:r>
      <w:r>
        <w:t>联动至</w:t>
      </w:r>
      <w:r>
        <w:rPr>
          <w:rFonts w:hint="eastAsia"/>
        </w:rPr>
        <w:t>监</w:t>
      </w:r>
      <w:r>
        <w:rPr>
          <w:rFonts w:hint="eastAsia"/>
          <w:highlight w:val="none"/>
        </w:rPr>
        <w:t>管系统</w:t>
      </w:r>
      <w:r>
        <w:rPr>
          <w:highlight w:val="none"/>
        </w:rPr>
        <w:t>【</w:t>
      </w:r>
      <w:r>
        <w:rPr>
          <w:rFonts w:hint="eastAsia"/>
          <w:highlight w:val="none"/>
        </w:rPr>
        <w:t>待缴合同信息</w:t>
      </w:r>
      <w:r>
        <w:rPr>
          <w:highlight w:val="none"/>
        </w:rPr>
        <w:t>】页</w:t>
      </w:r>
      <w:r>
        <w:t>面</w:t>
      </w:r>
      <w:r>
        <w:rPr>
          <w:rFonts w:hint="eastAsia" w:ascii="仿宋_GB2312" w:hAnsi="仿宋_GB2312" w:eastAsia="仿宋_GB2312" w:cs="仿宋_GB2312"/>
        </w:rPr>
        <w:t>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.2.1.4所示），仅</w:t>
      </w:r>
      <w:r>
        <w:rPr>
          <w:rFonts w:hint="eastAsia"/>
        </w:rPr>
        <w:t>展示网签合同信息</w:t>
      </w:r>
      <w:r>
        <w:t>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399665" cy="3023235"/>
            <wp:effectExtent l="0" t="0" r="635" b="5715"/>
            <wp:docPr id="15" name="图片 15" descr="网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网签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949450" cy="3013710"/>
            <wp:effectExtent l="0" t="0" r="3175" b="5715"/>
            <wp:docPr id="16" name="图片 16" descr="C:\Users\13683\Desktop\写写写\截图\京通\网签2.jpg网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683\Desktop\写写写\截图\京通\网签2.jpg网签2"/>
                    <pic:cNvPicPr>
                      <a:picLocks noChangeAspect="1"/>
                    </pic:cNvPicPr>
                  </pic:nvPicPr>
                  <pic:blipFill>
                    <a:blip r:embed="rId16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rPr>
          <w:rFonts w:hint="eastAsia"/>
          <w:lang w:val="en-US" w:eastAsia="zh-CN"/>
        </w:rPr>
        <w:t xml:space="preserve">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.2.1.1建委-合同信息     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.2.1.2建委-【去支付】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344420" cy="2840355"/>
            <wp:effectExtent l="0" t="0" r="8255" b="7620"/>
            <wp:docPr id="17" name="图片 17" descr="网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网签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03755" cy="2915285"/>
            <wp:effectExtent l="0" t="0" r="1270" b="8890"/>
            <wp:docPr id="18" name="图片 18" descr="网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网签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rPr>
          <w:rFonts w:hint="eastAsia"/>
          <w:lang w:val="en-US" w:eastAsia="zh-CN"/>
        </w:rPr>
        <w:t xml:space="preserve">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.2.1.3建委-提示信息   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.2.1.4网签-待缴合同信息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34" w:name="_Toc19568"/>
      <w:bookmarkStart w:id="135" w:name="_Toc32653"/>
      <w:bookmarkStart w:id="136" w:name="_Toc27892"/>
      <w:bookmarkStart w:id="137" w:name="_Toc16200"/>
      <w:r>
        <w:rPr>
          <w:rFonts w:hint="eastAsia" w:ascii="仿宋_GB2312" w:hAnsi="仿宋_GB2312" w:eastAsia="仿宋_GB2312" w:cs="仿宋_GB2312"/>
          <w:b/>
          <w:bCs/>
        </w:rPr>
        <w:t>确认缴纳</w:t>
      </w:r>
      <w:bookmarkEnd w:id="134"/>
      <w:bookmarkEnd w:id="135"/>
      <w:bookmarkEnd w:id="136"/>
      <w:bookmarkEnd w:id="137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highlight w:val="none"/>
        </w:rPr>
        <w:t>跳转页面中显示合同备案编号、信息、租押金金额、待缴总金额。</w:t>
      </w:r>
      <w:r>
        <w:rPr>
          <w:rFonts w:hint="eastAsia" w:ascii="仿宋_GB2312" w:hAnsi="仿宋_GB2312" w:eastAsia="仿宋_GB2312" w:cs="仿宋_GB2312"/>
        </w:rPr>
        <w:t>点击【&gt;】进入查询待缴账单页面（如图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.2.2.1所示）。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67510" cy="3128010"/>
            <wp:effectExtent l="0" t="0" r="8890" b="5715"/>
            <wp:docPr id="20" name="图片 20" descr="网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网签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.2.2.1网签-查询待缴账单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勾选账单记录，下方显示所选记录金额合计，点击【承租人缴款】，进入承租人缴纳订单页面。提示：同一合同备案下的租金待缴账单，只能顺序选择，不能跨账单顺序选择，否则校验不通过。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38" w:name="_Toc20230"/>
      <w:bookmarkStart w:id="139" w:name="_Toc21427"/>
      <w:bookmarkStart w:id="140" w:name="_Toc5541"/>
      <w:bookmarkStart w:id="141" w:name="_Toc23860"/>
      <w:r>
        <w:rPr>
          <w:rFonts w:hint="eastAsia" w:ascii="仿宋_GB2312" w:hAnsi="仿宋_GB2312" w:eastAsia="仿宋_GB2312" w:cs="仿宋_GB2312"/>
          <w:b/>
          <w:bCs/>
        </w:rPr>
        <w:t>支付订单</w:t>
      </w:r>
      <w:bookmarkEnd w:id="138"/>
      <w:bookmarkEnd w:id="139"/>
      <w:bookmarkEnd w:id="140"/>
      <w:bookmarkEnd w:id="141"/>
    </w:p>
    <w:p>
      <w:pPr>
        <w:pStyle w:val="20"/>
        <w:spacing w:before="0" w:after="0"/>
        <w:ind w:firstLine="640"/>
      </w:pPr>
      <w:r>
        <w:rPr>
          <w:rFonts w:hint="eastAsia" w:ascii="仿宋_GB2312" w:hAnsi="仿宋_GB2312" w:eastAsia="仿宋_GB2312" w:cs="仿宋_GB2312"/>
        </w:rPr>
        <w:t>缴纳订单页面（如图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2.3.1所示）显示订单信息、订单明细，核对订单无误后，点击下方【立即缴纳】，弹出付款提示，选择支付方式并提交，跳转至对应的APP支付页面，承租人支付后系统展示支付结果；如订单信息有误，点击下方【取消订单</w:t>
      </w:r>
      <w:r>
        <w:rPr>
          <w:rFonts w:hint="eastAsia"/>
        </w:rPr>
        <w:t>】返回上一页面。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57350" cy="3107055"/>
            <wp:effectExtent l="0" t="0" r="0" b="7620"/>
            <wp:docPr id="19" name="图片 19" descr="网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网签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1695450" cy="3187065"/>
            <wp:effectExtent l="0" t="0" r="0" b="3810"/>
            <wp:docPr id="21" name="图片 21" descr="C:\Users\13683\Desktop\写写写\截图\京通\网签\网签7-改.jpg网签7-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683\Desktop\写写写\截图\京通\网签\网签7-改.jpg网签7-改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.2.3.1网签-立即缴纳      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.2.3.2网签-收银台</w:t>
      </w:r>
    </w:p>
    <w:p>
      <w:pPr>
        <w:pStyle w:val="17"/>
        <w:numPr>
          <w:ilvl w:val="0"/>
          <w:numId w:val="2"/>
        </w:numPr>
        <w:spacing w:before="0" w:after="0"/>
      </w:pPr>
      <w:bookmarkStart w:id="142" w:name="_Toc28951"/>
      <w:bookmarkStart w:id="143" w:name="_Toc25260"/>
      <w:bookmarkStart w:id="144" w:name="_Toc2021"/>
      <w:bookmarkStart w:id="145" w:name="_Toc11902"/>
      <w:r>
        <w:rPr>
          <w:rFonts w:hint="eastAsia"/>
        </w:rPr>
        <w:t>押金</w:t>
      </w:r>
      <w:r>
        <w:rPr>
          <w:rFonts w:hint="eastAsia"/>
          <w:lang w:val="en-US" w:eastAsia="zh-CN"/>
        </w:rPr>
        <w:t>租金</w:t>
      </w:r>
      <w:r>
        <w:rPr>
          <w:rFonts w:hint="eastAsia"/>
        </w:rPr>
        <w:t>余额查询</w:t>
      </w:r>
      <w:bookmarkEnd w:id="142"/>
      <w:bookmarkEnd w:id="143"/>
      <w:bookmarkEnd w:id="144"/>
      <w:bookmarkEnd w:id="145"/>
    </w:p>
    <w:p>
      <w:pPr>
        <w:pStyle w:val="18"/>
        <w:numPr>
          <w:ilvl w:val="1"/>
          <w:numId w:val="2"/>
        </w:numPr>
        <w:spacing w:before="0" w:after="0"/>
      </w:pPr>
      <w:bookmarkStart w:id="146" w:name="_Toc23563"/>
      <w:bookmarkStart w:id="147" w:name="_Toc21362"/>
      <w:bookmarkStart w:id="148" w:name="_Toc27700"/>
      <w:bookmarkStart w:id="149" w:name="_Toc4760"/>
      <w:r>
        <w:rPr>
          <w:rFonts w:hint="eastAsia"/>
        </w:rPr>
        <w:t>功能说明</w:t>
      </w:r>
      <w:bookmarkEnd w:id="146"/>
      <w:bookmarkEnd w:id="147"/>
      <w:bookmarkEnd w:id="148"/>
      <w:bookmarkEnd w:id="149"/>
    </w:p>
    <w:p>
      <w:pPr>
        <w:pStyle w:val="20"/>
        <w:spacing w:before="0" w:after="0"/>
        <w:ind w:firstLine="640"/>
      </w:pPr>
      <w:r>
        <w:rPr>
          <w:rFonts w:hint="eastAsia"/>
        </w:rPr>
        <w:t>承租人登录京通小程序后，可在该功能中查看本人名下所有已备案合同的监管资金余额</w:t>
      </w:r>
      <w:r>
        <w:rPr>
          <w:rFonts w:hint="eastAsia"/>
          <w:lang w:val="en-US" w:eastAsia="zh-CN"/>
        </w:rPr>
        <w:t>及明细</w:t>
      </w:r>
      <w:r>
        <w:rPr>
          <w:rFonts w:hint="eastAsia"/>
        </w:rPr>
        <w:t>。</w:t>
      </w:r>
    </w:p>
    <w:p>
      <w:pPr>
        <w:pStyle w:val="18"/>
        <w:numPr>
          <w:ilvl w:val="1"/>
          <w:numId w:val="2"/>
        </w:numPr>
        <w:spacing w:before="0" w:after="0"/>
      </w:pPr>
      <w:bookmarkStart w:id="150" w:name="_Toc27978"/>
      <w:bookmarkStart w:id="151" w:name="_Toc28121"/>
      <w:bookmarkStart w:id="152" w:name="_Toc30415"/>
      <w:bookmarkStart w:id="153" w:name="_Toc21516"/>
      <w:r>
        <w:rPr>
          <w:rFonts w:hint="eastAsia"/>
        </w:rPr>
        <w:t>办理程序</w:t>
      </w:r>
      <w:bookmarkEnd w:id="150"/>
      <w:bookmarkEnd w:id="151"/>
      <w:bookmarkEnd w:id="152"/>
      <w:bookmarkEnd w:id="153"/>
    </w:p>
    <w:p>
      <w:pPr>
        <w:pStyle w:val="20"/>
        <w:spacing w:before="0" w:after="0"/>
        <w:ind w:firstLine="640"/>
      </w:pPr>
      <w:r>
        <w:rPr>
          <w:rFonts w:hint="eastAsia" w:ascii="仿宋_GB2312" w:hAnsi="仿宋_GB2312" w:eastAsia="仿宋_GB2312" w:cs="仿宋_GB2312"/>
        </w:rPr>
        <w:t>承租人登录京通小程序后，点</w:t>
      </w:r>
      <w:r>
        <w:rPr>
          <w:rFonts w:hint="eastAsia" w:ascii="仿宋_GB2312" w:hAnsi="仿宋_GB2312" w:eastAsia="仿宋_GB2312" w:cs="仿宋_GB2312"/>
          <w:highlight w:val="none"/>
        </w:rPr>
        <w:t>击【公积金】-【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住房租赁押金 租金</w:t>
      </w:r>
      <w:r>
        <w:rPr>
          <w:rFonts w:hint="eastAsia" w:ascii="仿宋_GB2312" w:hAnsi="仿宋_GB2312" w:eastAsia="仿宋_GB2312" w:cs="仿宋_GB2312"/>
          <w:highlight w:val="none"/>
        </w:rPr>
        <w:t>】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-【押金 租金余额查询】</w:t>
      </w:r>
      <w:r>
        <w:rPr>
          <w:rFonts w:hint="eastAsia" w:ascii="仿宋_GB2312" w:hAnsi="仿宋_GB2312" w:eastAsia="仿宋_GB2312" w:cs="仿宋_GB2312"/>
          <w:highlight w:val="none"/>
        </w:rPr>
        <w:t>，</w:t>
      </w:r>
      <w:r>
        <w:rPr>
          <w:rFonts w:hint="eastAsia" w:ascii="仿宋_GB2312" w:hAnsi="仿宋_GB2312" w:eastAsia="仿宋_GB2312" w:cs="仿宋_GB2312"/>
        </w:rPr>
        <w:t>进入租押金余额查询页面（如图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</w:rPr>
        <w:t>.2.1所示），默认展示</w:t>
      </w:r>
      <w:r>
        <w:rPr>
          <w:rFonts w:hint="eastAsia"/>
        </w:rPr>
        <w:t>承租人名下近一年的已备案合同。备案合同对应多个承租人时，每个承租人均可查询已备案合同信息。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030730" cy="3265170"/>
            <wp:effectExtent l="0" t="0" r="1270" b="11430"/>
            <wp:docPr id="7" name="图片 7" descr="余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余额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1953895" cy="3278505"/>
            <wp:effectExtent l="0" t="0" r="1905" b="10795"/>
            <wp:docPr id="11" name="图片 11" descr="余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余额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rPr>
          <w:rFonts w:hint="eastAsia" w:ascii="黑体" w:hAnsi="黑体" w:cs="黑体"/>
          <w:szCs w:val="28"/>
        </w:rPr>
        <w:t xml:space="preserve">图 </w:t>
      </w:r>
      <w:r>
        <w:rPr>
          <w:rFonts w:hint="eastAsia" w:ascii="黑体" w:hAnsi="黑体" w:cs="黑体"/>
          <w:szCs w:val="28"/>
          <w:lang w:val="en-US" w:eastAsia="zh-CN"/>
        </w:rPr>
        <w:t>5</w:t>
      </w:r>
      <w:r>
        <w:rPr>
          <w:rFonts w:cs="Arial"/>
          <w:szCs w:val="28"/>
        </w:rPr>
        <w:t>.2.1</w:t>
      </w:r>
      <w:r>
        <w:rPr>
          <w:rFonts w:hint="eastAsia" w:ascii="黑体" w:hAnsi="黑体" w:cs="黑体"/>
          <w:szCs w:val="28"/>
        </w:rPr>
        <w:t xml:space="preserve">租押金余额查询              </w:t>
      </w: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.2.2备案起止日期查询</w:t>
      </w:r>
    </w:p>
    <w:p>
      <w:pPr>
        <w:pStyle w:val="20"/>
        <w:spacing w:before="0" w:after="0"/>
        <w:ind w:firstLine="640"/>
      </w:pPr>
      <w:r>
        <w:t>可依据</w:t>
      </w:r>
      <w:r>
        <w:rPr>
          <w:rFonts w:hint="eastAsia"/>
        </w:rPr>
        <w:t>“备案</w:t>
      </w:r>
      <w:r>
        <w:t>起止日期</w:t>
      </w:r>
      <w:r>
        <w:rPr>
          <w:rFonts w:hint="eastAsia"/>
        </w:rPr>
        <w:t>”</w:t>
      </w:r>
      <w:r>
        <w:t>、</w:t>
      </w:r>
      <w:r>
        <w:rPr>
          <w:rFonts w:hint="eastAsia"/>
        </w:rPr>
        <w:t>“</w:t>
      </w:r>
      <w:r>
        <w:t>合同备案编号</w:t>
      </w:r>
      <w:r>
        <w:rPr>
          <w:rFonts w:hint="eastAsia"/>
        </w:rPr>
        <w:t>”</w:t>
      </w:r>
      <w:r>
        <w:t>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如图5.2.2所示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  <w:r>
        <w:t>点击合同右侧【</w:t>
      </w:r>
      <w:r>
        <w:rPr>
          <w:rFonts w:hint="eastAsia"/>
        </w:rPr>
        <w:t>&gt;</w:t>
      </w:r>
      <w:r>
        <w:t>】，显示</w:t>
      </w:r>
      <w:r>
        <w:rPr>
          <w:rFonts w:hint="eastAsia"/>
        </w:rPr>
        <w:t>备案合同信息及监管押金余额、监管租金余额（如图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.2.3所示）</w:t>
      </w:r>
      <w:r>
        <w:t>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600325" cy="2331720"/>
            <wp:effectExtent l="0" t="0" r="3175" b="5080"/>
            <wp:docPr id="12" name="图片 12" descr="余额-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余额-详情"/>
                    <pic:cNvPicPr>
                      <a:picLocks noChangeAspect="1"/>
                    </pic:cNvPicPr>
                  </pic:nvPicPr>
                  <pic:blipFill>
                    <a:blip r:embed="rId24"/>
                    <a:srcRect b="3256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.2.3租押金余额查询-详情</w:t>
      </w:r>
    </w:p>
    <w:p>
      <w:pPr>
        <w:pStyle w:val="17"/>
        <w:numPr>
          <w:ilvl w:val="0"/>
          <w:numId w:val="2"/>
        </w:numPr>
        <w:spacing w:before="0" w:after="0"/>
        <w:rPr>
          <w:szCs w:val="32"/>
        </w:rPr>
      </w:pPr>
      <w:bookmarkStart w:id="154" w:name="_Toc12651"/>
      <w:r>
        <w:rPr>
          <w:rFonts w:hint="eastAsia"/>
          <w:szCs w:val="32"/>
          <w:lang w:val="en-US" w:eastAsia="zh-CN"/>
        </w:rPr>
        <w:t>押金租金</w:t>
      </w:r>
      <w:r>
        <w:rPr>
          <w:rFonts w:hint="eastAsia"/>
          <w:szCs w:val="32"/>
        </w:rPr>
        <w:t>退款方案确认</w:t>
      </w:r>
      <w:bookmarkEnd w:id="154"/>
    </w:p>
    <w:p>
      <w:pPr>
        <w:pStyle w:val="18"/>
        <w:numPr>
          <w:ilvl w:val="1"/>
          <w:numId w:val="2"/>
        </w:numPr>
        <w:spacing w:before="0" w:after="0"/>
      </w:pPr>
      <w:bookmarkStart w:id="155" w:name="_Toc13243"/>
      <w:bookmarkStart w:id="156" w:name="_Toc13382"/>
      <w:bookmarkStart w:id="157" w:name="_Toc20914"/>
      <w:bookmarkStart w:id="158" w:name="_Toc28060"/>
      <w:r>
        <w:rPr>
          <w:rFonts w:hint="eastAsia"/>
        </w:rPr>
        <w:t>功能</w:t>
      </w:r>
      <w:bookmarkEnd w:id="155"/>
      <w:bookmarkEnd w:id="156"/>
      <w:bookmarkEnd w:id="157"/>
      <w:r>
        <w:rPr>
          <w:rFonts w:hint="eastAsia"/>
        </w:rPr>
        <w:t>说明</w:t>
      </w:r>
      <w:bookmarkEnd w:id="158"/>
    </w:p>
    <w:p>
      <w:pPr>
        <w:pStyle w:val="20"/>
        <w:spacing w:before="0" w:after="0"/>
        <w:ind w:firstLine="640"/>
      </w:pPr>
      <w:r>
        <w:rPr>
          <w:rFonts w:hint="eastAsia"/>
        </w:rPr>
        <w:t>承租人登录后，可在该功能中查看、确认合同到期或合同解约产生的退款方案；确认退款入账账号；查看已确认的退款合同方案。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住房租赁合同期满或解除，企业应当提出退还意见，向承租人发送退款方案确认。企业未在规定时间内提出退还意见的，押金、剩余租金的本金及利息全部退还至承租人账户。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如有特殊情况需修改收款户名信息，流程见6.2.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.特殊情况。</w:t>
      </w:r>
    </w:p>
    <w:p>
      <w:pPr>
        <w:pStyle w:val="18"/>
        <w:numPr>
          <w:ilvl w:val="1"/>
          <w:numId w:val="2"/>
        </w:numPr>
        <w:spacing w:before="0" w:after="0"/>
      </w:pPr>
      <w:bookmarkStart w:id="159" w:name="_Toc3771"/>
      <w:r>
        <w:rPr>
          <w:rFonts w:hint="eastAsia"/>
        </w:rPr>
        <w:t>办理程序</w:t>
      </w:r>
      <w:bookmarkEnd w:id="159"/>
    </w:p>
    <w:p>
      <w:pPr>
        <w:pStyle w:val="19"/>
        <w:numPr>
          <w:ilvl w:val="2"/>
          <w:numId w:val="2"/>
        </w:numPr>
        <w:spacing w:before="0" w:after="0"/>
      </w:pPr>
      <w:bookmarkStart w:id="160" w:name="_Toc7163"/>
      <w:bookmarkStart w:id="161" w:name="_Toc10403"/>
      <w:bookmarkStart w:id="162" w:name="_Toc29089"/>
      <w:bookmarkStart w:id="163" w:name="_Toc19587"/>
      <w:r>
        <w:rPr>
          <w:rFonts w:hint="eastAsia"/>
        </w:rPr>
        <w:t>待办、已办查看</w:t>
      </w:r>
      <w:bookmarkEnd w:id="160"/>
      <w:bookmarkEnd w:id="161"/>
      <w:bookmarkEnd w:id="162"/>
      <w:bookmarkEnd w:id="163"/>
    </w:p>
    <w:p>
      <w:pPr>
        <w:pStyle w:val="20"/>
        <w:spacing w:before="0" w:after="0"/>
        <w:ind w:firstLine="640"/>
      </w:pPr>
      <w:r>
        <w:rPr>
          <w:rFonts w:hint="eastAsia"/>
        </w:rPr>
        <w:t>承租人登录京通小程序后，点击</w:t>
      </w:r>
      <w:r>
        <w:rPr>
          <w:rFonts w:hint="eastAsia"/>
          <w:highlight w:val="none"/>
        </w:rPr>
        <w:t>【公积金】-【</w:t>
      </w:r>
      <w:r>
        <w:rPr>
          <w:rFonts w:hint="eastAsia"/>
          <w:highlight w:val="none"/>
          <w:lang w:val="en-US" w:eastAsia="zh-CN"/>
        </w:rPr>
        <w:t>住房租赁押金 租金</w:t>
      </w:r>
      <w:r>
        <w:rPr>
          <w:rFonts w:hint="eastAsia"/>
          <w:highlight w:val="none"/>
        </w:rPr>
        <w:t>】-【</w:t>
      </w:r>
      <w:r>
        <w:rPr>
          <w:rFonts w:hint="eastAsia"/>
          <w:highlight w:val="none"/>
          <w:lang w:val="en-US" w:eastAsia="zh-CN"/>
        </w:rPr>
        <w:t>押金 租金</w:t>
      </w:r>
      <w:r>
        <w:rPr>
          <w:rFonts w:hint="eastAsia"/>
          <w:highlight w:val="none"/>
        </w:rPr>
        <w:t>退款方案</w:t>
      </w:r>
      <w:r>
        <w:rPr>
          <w:rFonts w:hint="eastAsia"/>
        </w:rPr>
        <w:t>确认】，共有两个页签，【待办】页面（如图6.2.1.1所示）展示承租人名下所有待确认的退款方案；【已办】页面（如图6.2.1.2所示）展示承租人所有已确认的退款方案，点击进入可查看退款方案信息及状态（如图6.2.1.3所示）。</w:t>
      </w:r>
    </w:p>
    <w:p>
      <w:pPr>
        <w:pStyle w:val="20"/>
        <w:spacing w:before="0" w:after="0" w:line="240" w:lineRule="auto"/>
        <w:ind w:firstLine="0" w:firstLineChars="0"/>
      </w:pPr>
      <w:r>
        <w:rPr>
          <w:rFonts w:hint="eastAsia"/>
        </w:rPr>
        <w:drawing>
          <wp:inline distT="0" distB="0" distL="114300" distR="114300">
            <wp:extent cx="1760220" cy="3110865"/>
            <wp:effectExtent l="0" t="0" r="1905" b="3810"/>
            <wp:docPr id="23" name="图片 23" descr="退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退款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749425" cy="3129280"/>
            <wp:effectExtent l="0" t="0" r="3175" b="4445"/>
            <wp:docPr id="24" name="图片 24" descr="退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退款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657985" cy="3142615"/>
            <wp:effectExtent l="0" t="0" r="8890" b="635"/>
            <wp:docPr id="25" name="图片 25" descr="退款已办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退款已办详情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240" w:firstLineChars="100"/>
        <w:rPr>
          <w:rFonts w:eastAsia="仿宋_GB2312"/>
          <w:sz w:val="24"/>
          <w:szCs w:val="22"/>
        </w:rPr>
      </w:pPr>
      <w:r>
        <w:rPr>
          <w:sz w:val="24"/>
          <w:szCs w:val="22"/>
        </w:rPr>
        <w:t xml:space="preserve">图 </w:t>
      </w:r>
      <w:r>
        <w:rPr>
          <w:rFonts w:hint="eastAsia"/>
          <w:sz w:val="24"/>
          <w:szCs w:val="22"/>
        </w:rPr>
        <w:t xml:space="preserve">6.2.1.1.退款-待办  </w:t>
      </w:r>
      <w:r>
        <w:rPr>
          <w:rFonts w:hint="eastAsia"/>
          <w:sz w:val="24"/>
          <w:szCs w:val="22"/>
          <w:lang w:val="en-US" w:eastAsia="zh-CN"/>
        </w:rPr>
        <w:t xml:space="preserve"> </w:t>
      </w:r>
      <w:r>
        <w:rPr>
          <w:sz w:val="24"/>
          <w:szCs w:val="22"/>
        </w:rPr>
        <w:t xml:space="preserve">图 </w:t>
      </w:r>
      <w:r>
        <w:rPr>
          <w:rFonts w:hint="eastAsia"/>
          <w:sz w:val="24"/>
          <w:szCs w:val="22"/>
        </w:rPr>
        <w:t xml:space="preserve">6.2.1.2退款-已办 </w:t>
      </w:r>
      <w:r>
        <w:rPr>
          <w:rFonts w:hint="eastAsia"/>
          <w:sz w:val="24"/>
          <w:szCs w:val="22"/>
          <w:lang w:val="en-US" w:eastAsia="zh-CN"/>
        </w:rPr>
        <w:t xml:space="preserve">   </w:t>
      </w:r>
      <w:r>
        <w:rPr>
          <w:sz w:val="24"/>
          <w:szCs w:val="22"/>
        </w:rPr>
        <w:t xml:space="preserve">图 </w:t>
      </w:r>
      <w:r>
        <w:rPr>
          <w:rFonts w:hint="eastAsia"/>
          <w:sz w:val="24"/>
          <w:szCs w:val="22"/>
        </w:rPr>
        <w:t>6.2.1.3退款-已办详情</w:t>
      </w:r>
    </w:p>
    <w:p>
      <w:pPr>
        <w:pStyle w:val="20"/>
        <w:spacing w:before="0" w:after="0"/>
        <w:ind w:firstLine="640"/>
      </w:pPr>
      <w:r>
        <w:t>提示：如有多个承租人，企业用户默认选择退至第一个承租人，收款承租人可查看退款方案并回复退款意见，其余承租人仅支持查看退款方案。</w:t>
      </w:r>
    </w:p>
    <w:p>
      <w:pPr>
        <w:pStyle w:val="19"/>
        <w:numPr>
          <w:ilvl w:val="2"/>
          <w:numId w:val="2"/>
        </w:numPr>
        <w:spacing w:before="0" w:after="0"/>
      </w:pPr>
      <w:bookmarkStart w:id="164" w:name="_Toc3408"/>
      <w:bookmarkStart w:id="165" w:name="_Toc28351"/>
      <w:bookmarkStart w:id="166" w:name="_Toc2410"/>
      <w:bookmarkStart w:id="167" w:name="_Toc16751"/>
      <w:r>
        <w:rPr>
          <w:rFonts w:hint="eastAsia"/>
        </w:rPr>
        <w:t>退款方案确认</w:t>
      </w:r>
      <w:bookmarkEnd w:id="164"/>
      <w:bookmarkEnd w:id="165"/>
      <w:bookmarkEnd w:id="166"/>
      <w:bookmarkEnd w:id="167"/>
    </w:p>
    <w:p>
      <w:pPr>
        <w:pStyle w:val="20"/>
        <w:spacing w:before="0" w:after="0"/>
        <w:ind w:firstLine="640"/>
      </w:pPr>
      <w:r>
        <w:rPr>
          <w:rFonts w:hint="eastAsia"/>
        </w:rPr>
        <w:t>企业发送退款方案至承租人后，监管系统向承租人发送短信提醒。承租人应当在企业提出退款方案后3个工作日内确认是否同意。承租人在3个工作日内未确认，经提示提醒，在之后的3个工作日内仍未确认的，剩余租押金按企业提出的退款方案退还。</w:t>
      </w:r>
    </w:p>
    <w:p>
      <w:pPr>
        <w:pStyle w:val="20"/>
        <w:spacing w:before="0" w:after="0"/>
        <w:ind w:firstLine="640"/>
        <w:rPr>
          <w:highlight w:val="none"/>
        </w:rPr>
      </w:pPr>
      <w:r>
        <w:rPr>
          <w:rFonts w:hint="eastAsia"/>
        </w:rPr>
        <w:t>选择本次确认的备案合同，点击“退款方案确认”任务，进入退款方案确认页面，共两页</w:t>
      </w:r>
      <w:r>
        <w:rPr>
          <w:rFonts w:hint="eastAsia"/>
          <w:highlight w:val="none"/>
        </w:rPr>
        <w:t>。</w:t>
      </w:r>
    </w:p>
    <w:p>
      <w:pPr>
        <w:pStyle w:val="20"/>
        <w:spacing w:before="0" w:after="0"/>
        <w:ind w:firstLine="640"/>
        <w:rPr>
          <w:highlight w:val="none"/>
        </w:rPr>
      </w:pPr>
      <w:r>
        <w:rPr>
          <w:rFonts w:hint="eastAsia"/>
          <w:highlight w:val="none"/>
        </w:rPr>
        <w:t>首页（如图6.2.2.1所示）展示备案信息、房源信息、出租信息、承租人信息，核对无误后点击【下一步】进入下一页（如图</w:t>
      </w:r>
      <w:r>
        <w:rPr>
          <w:highlight w:val="none"/>
        </w:rPr>
        <w:t>6.2.2.2</w:t>
      </w:r>
      <w:r>
        <w:rPr>
          <w:rFonts w:hint="eastAsia"/>
          <w:highlight w:val="none"/>
        </w:rPr>
        <w:t>所示），展示退款方案。</w:t>
      </w:r>
    </w:p>
    <w:p>
      <w:pPr>
        <w:pStyle w:val="4"/>
        <w:jc w:val="center"/>
        <w:rPr>
          <w:rFonts w:eastAsia="仿宋_GB2312"/>
        </w:rPr>
      </w:pPr>
      <w:r>
        <w:rPr>
          <w:rFonts w:hint="eastAsia" w:eastAsia="仿宋_GB2312"/>
        </w:rPr>
        <w:drawing>
          <wp:inline distT="0" distB="0" distL="114300" distR="114300">
            <wp:extent cx="1768475" cy="3324860"/>
            <wp:effectExtent l="0" t="0" r="3175" b="8890"/>
            <wp:docPr id="26" name="图片 26" descr="退款确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退款确认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</w:rPr>
        <w:t xml:space="preserve">                 </w:t>
      </w:r>
      <w:r>
        <w:rPr>
          <w:rFonts w:hint="eastAsia" w:eastAsia="仿宋_GB2312"/>
        </w:rPr>
        <w:drawing>
          <wp:inline distT="0" distB="0" distL="114300" distR="114300">
            <wp:extent cx="1755775" cy="3300730"/>
            <wp:effectExtent l="0" t="0" r="6350" b="4445"/>
            <wp:docPr id="27" name="图片 27" descr="退款确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退款确认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Theme="minorEastAsia"/>
        </w:rPr>
      </w:pPr>
      <w:r>
        <w:t xml:space="preserve">图 </w:t>
      </w:r>
      <w:r>
        <w:rPr>
          <w:rFonts w:hint="eastAsia"/>
        </w:rPr>
        <w:t xml:space="preserve">6.2.2.1退款方案确认详情页1    </w:t>
      </w:r>
      <w:r>
        <w:t xml:space="preserve">图 </w:t>
      </w:r>
      <w:r>
        <w:rPr>
          <w:rFonts w:hint="eastAsia"/>
        </w:rPr>
        <w:t>6.2.2.2退款方案确认详情页2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回复意见前，承租人需再次</w:t>
      </w:r>
      <w:r>
        <w:rPr>
          <w:rFonts w:hint="eastAsia"/>
          <w:lang w:val="en-US" w:eastAsia="zh-CN"/>
        </w:rPr>
        <w:t>确认</w:t>
      </w:r>
      <w:r>
        <w:rPr>
          <w:rFonts w:hint="eastAsia"/>
        </w:rPr>
        <w:t>收款账号及开户银行。若承租人确认时录入的收款账户信息与企业录入不同，以承租人录入为准。承租人也可上传附件信息，文件格式为jpg、pdf、png，单个文件大小限制为1M。</w:t>
      </w:r>
    </w:p>
    <w:p>
      <w:pPr>
        <w:pStyle w:val="21"/>
        <w:spacing w:before="0" w:after="0"/>
        <w:ind w:firstLine="640"/>
      </w:pPr>
      <w:bookmarkStart w:id="168" w:name="_Toc2092"/>
      <w:bookmarkStart w:id="169" w:name="_Toc21749"/>
      <w:bookmarkStart w:id="170" w:name="_Toc27967"/>
      <w:r>
        <w:rPr>
          <w:rFonts w:hint="eastAsia"/>
        </w:rPr>
        <w:t>同意退款方案</w:t>
      </w:r>
      <w:bookmarkEnd w:id="168"/>
      <w:bookmarkEnd w:id="169"/>
      <w:bookmarkEnd w:id="170"/>
    </w:p>
    <w:p>
      <w:pPr>
        <w:pStyle w:val="20"/>
        <w:spacing w:before="0" w:after="0"/>
        <w:ind w:firstLine="640"/>
      </w:pPr>
      <w:r>
        <w:rPr>
          <w:rFonts w:hint="eastAsia"/>
        </w:rPr>
        <w:t>承租人同意退款方案，意见栏位选择【同意此方案退款】，点击【提交】，跳转至付款清单页，展示收款信息及金额。确认无误后点击【确定】，退款方案反馈成功。当日，系统按退款方案自动付款，具体到账时间以银行为准，退款流程完成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提示：全额退款至承租人时，只有【同意此方案退款】的选项。</w:t>
      </w:r>
    </w:p>
    <w:p>
      <w:pPr>
        <w:pStyle w:val="21"/>
        <w:spacing w:before="0" w:after="0"/>
        <w:ind w:firstLine="640"/>
      </w:pPr>
      <w:bookmarkStart w:id="171" w:name="_Toc3251"/>
      <w:bookmarkStart w:id="172" w:name="_Toc29721"/>
      <w:bookmarkStart w:id="173" w:name="_Toc18181"/>
      <w:r>
        <w:rPr>
          <w:rFonts w:hint="eastAsia"/>
        </w:rPr>
        <w:t>自行协商</w:t>
      </w:r>
      <w:bookmarkEnd w:id="171"/>
      <w:bookmarkEnd w:id="172"/>
      <w:bookmarkEnd w:id="173"/>
    </w:p>
    <w:p>
      <w:pPr>
        <w:pStyle w:val="20"/>
        <w:spacing w:before="0" w:after="0"/>
        <w:ind w:firstLine="640"/>
      </w:pPr>
      <w:r>
        <w:t>承租人不同意</w:t>
      </w:r>
      <w:r>
        <w:rPr>
          <w:rFonts w:hint="eastAsia"/>
        </w:rPr>
        <w:t>退款方案</w:t>
      </w:r>
      <w:r>
        <w:t>的，可以与企业自行协商解决；不愿协商或者协商不成的，可以向中介协会提出调解，也可以通过诉讼、仲裁等途径解决。</w:t>
      </w:r>
    </w:p>
    <w:p>
      <w:pPr>
        <w:pStyle w:val="20"/>
        <w:spacing w:before="0" w:after="0"/>
        <w:ind w:firstLine="640"/>
      </w:pPr>
      <w:r>
        <w:t>承租人不同意退款方案，选择自行协商的，在【退款方案确认】页面</w:t>
      </w:r>
      <w:r>
        <w:rPr>
          <w:rFonts w:hint="eastAsia"/>
          <w:lang w:val="en-US" w:eastAsia="zh-CN"/>
        </w:rPr>
        <w:t>确认</w:t>
      </w:r>
      <w:r>
        <w:t>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】-【不同意，</w:t>
      </w:r>
      <w:r>
        <w:t>退回</w:t>
      </w:r>
      <w:r>
        <w:rPr>
          <w:rFonts w:hint="eastAsia"/>
        </w:rPr>
        <w:t>租赁</w:t>
      </w:r>
      <w:r>
        <w:t>企业修改】</w:t>
      </w:r>
      <w:r>
        <w:rPr>
          <w:rFonts w:hint="eastAsia"/>
        </w:rPr>
        <w:t>，提交后弹出提示信息（如图6.2.2.2.1所示），点击【继续协商】，退款方案反馈成功。</w:t>
      </w:r>
      <w:r>
        <w:t>企业</w:t>
      </w:r>
      <w:r>
        <w:rPr>
          <w:rFonts w:hint="eastAsia"/>
          <w:lang w:val="en-US" w:eastAsia="zh-CN"/>
        </w:rPr>
        <w:t>与承租人</w:t>
      </w:r>
      <w:r>
        <w:t>协商一致后，企业修改退款方案并提交至承租人</w:t>
      </w:r>
      <w:r>
        <w:rPr>
          <w:rFonts w:hint="eastAsia"/>
          <w:lang w:eastAsia="zh-CN"/>
        </w:rPr>
        <w:t>。</w:t>
      </w:r>
      <w:r>
        <w:t>系统再次向承租人发送确认短信</w:t>
      </w:r>
      <w:r>
        <w:rPr>
          <w:rFonts w:hint="eastAsia"/>
        </w:rPr>
        <w:t>提醒</w:t>
      </w:r>
      <w:r>
        <w:rPr>
          <w:rFonts w:hint="eastAsia"/>
          <w:lang w:eastAsia="zh-CN"/>
        </w:rPr>
        <w:t>，</w:t>
      </w:r>
      <w:r>
        <w:t>承租人</w:t>
      </w:r>
      <w:r>
        <w:rPr>
          <w:rFonts w:hint="eastAsia"/>
          <w:lang w:val="en-US" w:eastAsia="zh-CN"/>
        </w:rPr>
        <w:t>登录承租人端</w:t>
      </w:r>
      <w:r>
        <w:t>同意</w:t>
      </w:r>
      <w:r>
        <w:rPr>
          <w:rFonts w:hint="eastAsia"/>
          <w:lang w:val="en-US" w:eastAsia="zh-CN"/>
        </w:rPr>
        <w:t>退款方案</w:t>
      </w:r>
      <w:r>
        <w:t>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775460" cy="3326765"/>
            <wp:effectExtent l="0" t="0" r="5715" b="6985"/>
            <wp:docPr id="32" name="图片 32" descr="协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协商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6.2.2.2.1不同意，</w:t>
      </w:r>
      <w:r>
        <w:t>退回</w:t>
      </w:r>
      <w:r>
        <w:rPr>
          <w:rFonts w:hint="eastAsia"/>
        </w:rPr>
        <w:t>租赁</w:t>
      </w:r>
      <w:r>
        <w:t>企业修改</w:t>
      </w:r>
    </w:p>
    <w:p>
      <w:pPr>
        <w:pStyle w:val="21"/>
        <w:spacing w:before="0" w:after="0"/>
        <w:ind w:firstLine="640"/>
      </w:pPr>
      <w:bookmarkStart w:id="174" w:name="_Toc25671"/>
      <w:bookmarkStart w:id="175" w:name="_Toc22824"/>
      <w:bookmarkStart w:id="176" w:name="_Toc2712"/>
      <w:r>
        <w:rPr>
          <w:rFonts w:hint="eastAsia"/>
        </w:rPr>
        <w:t>中介协会介入调解</w:t>
      </w:r>
      <w:bookmarkEnd w:id="174"/>
      <w:bookmarkEnd w:id="175"/>
      <w:bookmarkEnd w:id="176"/>
    </w:p>
    <w:p>
      <w:pPr>
        <w:pStyle w:val="20"/>
        <w:spacing w:before="0" w:after="0"/>
        <w:ind w:firstLine="640"/>
        <w:rPr>
          <w:rFonts w:hint="eastAsia"/>
        </w:rPr>
      </w:pPr>
      <w:r>
        <w:t>承租人不同意退款方案，选择中介协会介入调解的，在【退款方案确认】页面输入收款账号及开户行后，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】-【不同意，</w:t>
      </w:r>
      <w:r>
        <w:t>申请中介协会调解】</w:t>
      </w:r>
      <w:r>
        <w:rPr>
          <w:rFonts w:hint="eastAsia"/>
        </w:rPr>
        <w:t>，提交后弹出提示信息，请输入“同意扣除金额”后点击【申请调解】（如图6.2.2.3.1所示），跳转至付款清单页，展示收款信息及金额。确认无误后点击【确认】，退款方案反馈成功。</w:t>
      </w:r>
    </w:p>
    <w:p>
      <w:pPr>
        <w:pStyle w:val="20"/>
        <w:spacing w:before="0" w:after="0"/>
        <w:ind w:firstLine="640"/>
      </w:pPr>
      <w:r>
        <w:t>系统按当前退款方案中</w:t>
      </w:r>
      <w:r>
        <w:rPr>
          <w:rFonts w:hint="eastAsia"/>
        </w:rPr>
        <w:t>“</w:t>
      </w:r>
      <w:r>
        <w:t>退还承租人金额</w:t>
      </w:r>
      <w:r>
        <w:rPr>
          <w:rFonts w:hint="eastAsia"/>
        </w:rPr>
        <w:t>”部分</w:t>
      </w:r>
      <w:r>
        <w:t>退还承租人，</w:t>
      </w:r>
      <w:r>
        <w:rPr>
          <w:rFonts w:hint="eastAsia"/>
        </w:rPr>
        <w:t>具体到账时间以银行为准；</w:t>
      </w:r>
      <w:r>
        <w:t>承租人填写的</w:t>
      </w:r>
      <w:r>
        <w:rPr>
          <w:rFonts w:hint="eastAsia"/>
        </w:rPr>
        <w:t>“</w:t>
      </w:r>
      <w:r>
        <w:t>同意扣除</w:t>
      </w:r>
      <w:r>
        <w:rPr>
          <w:rFonts w:hint="eastAsia"/>
        </w:rPr>
        <w:t>金额”</w:t>
      </w:r>
      <w:r>
        <w:t>部分退至企业账户</w:t>
      </w:r>
      <w:r>
        <w:rPr>
          <w:rFonts w:hint="eastAsia"/>
        </w:rPr>
        <w:t>；</w:t>
      </w:r>
      <w:r>
        <w:t>剩余金额作为争议资金由中介协会负责进行调解，暂不支付。经调解协商一致后，中介协会填写争议部分最终退款方案，上传调解证明材料，直接按最终方案退款，退款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973580" cy="3696970"/>
            <wp:effectExtent l="0" t="0" r="7620" b="8255"/>
            <wp:docPr id="30" name="图片 30" descr="中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中介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6.2.2.3.1不同意，申请中介协会调解</w:t>
      </w:r>
    </w:p>
    <w:p>
      <w:pPr>
        <w:pStyle w:val="21"/>
        <w:spacing w:before="0" w:after="0"/>
        <w:ind w:firstLine="640"/>
      </w:pPr>
      <w:bookmarkStart w:id="177" w:name="_Toc23415"/>
      <w:bookmarkStart w:id="178" w:name="_Toc4184"/>
      <w:bookmarkStart w:id="179" w:name="_Toc21382"/>
      <w:r>
        <w:rPr>
          <w:rFonts w:hint="eastAsia"/>
        </w:rPr>
        <w:t>仲裁</w:t>
      </w:r>
      <w:bookmarkEnd w:id="177"/>
      <w:bookmarkEnd w:id="178"/>
      <w:bookmarkEnd w:id="179"/>
    </w:p>
    <w:p>
      <w:pPr>
        <w:pStyle w:val="20"/>
        <w:spacing w:before="0" w:after="0"/>
        <w:ind w:firstLine="640"/>
      </w:pPr>
      <w:r>
        <w:rPr>
          <w:rFonts w:hint="eastAsia"/>
        </w:rPr>
        <w:t>不愿协商或者协商不成的，承租人</w:t>
      </w:r>
      <w:r>
        <w:t>可申请仲裁。在【退款方案确认】页面输入收款账号及开户行后，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</w:t>
      </w:r>
      <w:r>
        <w:t>，</w:t>
      </w:r>
      <w:r>
        <w:rPr>
          <w:rFonts w:hint="eastAsia"/>
        </w:rPr>
        <w:t>选择仲裁</w:t>
      </w:r>
      <w:r>
        <w:t>】</w:t>
      </w:r>
      <w:r>
        <w:rPr>
          <w:rFonts w:hint="eastAsia"/>
        </w:rPr>
        <w:t>，提交后弹出提示信息，请输入“同意扣除金额”后点击【自行仲裁】（如图6.2.2.4.1所示），跳转至付款清单页，展示收款信息及金额。确认无误后点击【确认】，退款方案反馈成功。</w:t>
      </w:r>
      <w:r>
        <w:t>系统按当前退款方案中</w:t>
      </w:r>
      <w:r>
        <w:rPr>
          <w:rFonts w:hint="eastAsia"/>
        </w:rPr>
        <w:t>“</w:t>
      </w:r>
      <w:r>
        <w:t>退还承租人金额</w:t>
      </w:r>
      <w:r>
        <w:rPr>
          <w:rFonts w:hint="eastAsia"/>
        </w:rPr>
        <w:t>”部分</w:t>
      </w:r>
      <w:r>
        <w:t>退还承租人，</w:t>
      </w:r>
      <w:r>
        <w:rPr>
          <w:rFonts w:hint="eastAsia"/>
        </w:rPr>
        <w:t>具体到账时间以银行为准；</w:t>
      </w:r>
      <w:r>
        <w:t>承租人填写的</w:t>
      </w:r>
      <w:r>
        <w:rPr>
          <w:rFonts w:hint="eastAsia"/>
        </w:rPr>
        <w:t>“</w:t>
      </w:r>
      <w:r>
        <w:t>同意扣除</w:t>
      </w:r>
      <w:r>
        <w:rPr>
          <w:rFonts w:hint="eastAsia"/>
        </w:rPr>
        <w:t>金额”</w:t>
      </w:r>
      <w:r>
        <w:t>部分退至企业账户</w:t>
      </w:r>
      <w:r>
        <w:rPr>
          <w:rFonts w:hint="eastAsia"/>
        </w:rPr>
        <w:t>；</w:t>
      </w:r>
      <w:r>
        <w:t>剩余金额</w:t>
      </w:r>
      <w:r>
        <w:rPr>
          <w:rFonts w:hint="eastAsia"/>
        </w:rPr>
        <w:t>由中介协会根据仲裁结果分配</w:t>
      </w:r>
      <w:r>
        <w:t>，暂不支付。</w:t>
      </w:r>
      <w:r>
        <w:rPr>
          <w:rFonts w:hint="eastAsia"/>
        </w:rPr>
        <w:t>承租人需在仲裁结束后，向中介协会提交仲裁判决结果，</w:t>
      </w:r>
      <w:r>
        <w:t>中介协会</w:t>
      </w:r>
      <w:r>
        <w:rPr>
          <w:rFonts w:hint="eastAsia"/>
        </w:rPr>
        <w:t>按照判决结果</w:t>
      </w:r>
      <w:r>
        <w:t>填写争议部分最终退款方案，</w:t>
      </w:r>
      <w:r>
        <w:rPr>
          <w:rFonts w:hint="eastAsia"/>
        </w:rPr>
        <w:t>并</w:t>
      </w:r>
      <w:r>
        <w:t>直接按最终方案退款，退款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779270" cy="3360420"/>
            <wp:effectExtent l="0" t="0" r="1905" b="1905"/>
            <wp:docPr id="31" name="图片 31" descr="仲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仲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6.2.2.4.1不同意，选择仲裁</w:t>
      </w:r>
    </w:p>
    <w:p>
      <w:pPr>
        <w:pStyle w:val="21"/>
        <w:spacing w:before="0" w:after="0"/>
        <w:ind w:firstLine="640"/>
      </w:pPr>
      <w:bookmarkStart w:id="180" w:name="_Toc23788"/>
      <w:bookmarkStart w:id="181" w:name="_Toc23293"/>
      <w:bookmarkStart w:id="182" w:name="_Toc21770"/>
      <w:r>
        <w:rPr>
          <w:rFonts w:hint="eastAsia"/>
        </w:rPr>
        <w:t>诉讼</w:t>
      </w:r>
      <w:bookmarkEnd w:id="180"/>
      <w:bookmarkEnd w:id="181"/>
      <w:bookmarkEnd w:id="182"/>
    </w:p>
    <w:p>
      <w:pPr>
        <w:pStyle w:val="20"/>
        <w:spacing w:before="0" w:after="0"/>
        <w:ind w:firstLine="640"/>
      </w:pPr>
      <w:r>
        <w:rPr>
          <w:rFonts w:hint="eastAsia"/>
        </w:rPr>
        <w:t>不愿协商或者协商不成的，承租人</w:t>
      </w:r>
      <w:r>
        <w:t>可申请诉讼。在【退款方案确认】页面输入收款账号及开户行后，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】-【不同意，选择诉讼</w:t>
      </w:r>
      <w:r>
        <w:t>】</w:t>
      </w:r>
      <w:r>
        <w:rPr>
          <w:rFonts w:hint="eastAsia"/>
        </w:rPr>
        <w:t>提交后弹出提示信息，请输入“同意扣除金额”后点击【自行诉讼】（如图6.2.2.5.1所示），跳转至付款清单页，展示收款信息及金额。确认无误后点击【确认】，退款方案反馈成功。</w:t>
      </w:r>
      <w:r>
        <w:t>系统按当前退款方案中</w:t>
      </w:r>
      <w:r>
        <w:rPr>
          <w:rFonts w:hint="eastAsia"/>
        </w:rPr>
        <w:t>“</w:t>
      </w:r>
      <w:r>
        <w:t>退还承租人金额</w:t>
      </w:r>
      <w:r>
        <w:rPr>
          <w:rFonts w:hint="eastAsia"/>
        </w:rPr>
        <w:t>”部分</w:t>
      </w:r>
      <w:r>
        <w:t>退还承租人，</w:t>
      </w:r>
      <w:r>
        <w:rPr>
          <w:rFonts w:hint="eastAsia"/>
        </w:rPr>
        <w:t>具体到账时间以银行为准；</w:t>
      </w:r>
      <w:r>
        <w:t>承租人填写的</w:t>
      </w:r>
      <w:r>
        <w:rPr>
          <w:rFonts w:hint="eastAsia"/>
        </w:rPr>
        <w:t>“</w:t>
      </w:r>
      <w:r>
        <w:t>同意扣除</w:t>
      </w:r>
      <w:r>
        <w:rPr>
          <w:rFonts w:hint="eastAsia"/>
        </w:rPr>
        <w:t>金额”</w:t>
      </w:r>
      <w:r>
        <w:t>部分退至企业账户</w:t>
      </w:r>
      <w:r>
        <w:rPr>
          <w:rFonts w:hint="eastAsia"/>
        </w:rPr>
        <w:t>；</w:t>
      </w:r>
      <w:r>
        <w:t>剩余金额</w:t>
      </w:r>
      <w:r>
        <w:rPr>
          <w:rFonts w:hint="eastAsia"/>
        </w:rPr>
        <w:t>由中介协会根据诉讼结果分配</w:t>
      </w:r>
      <w:r>
        <w:t>，暂不支付。</w:t>
      </w:r>
      <w:r>
        <w:rPr>
          <w:rFonts w:hint="eastAsia"/>
        </w:rPr>
        <w:t>承租人需在诉讼结束后，向中介协会提交诉讼判决结果，</w:t>
      </w:r>
      <w:r>
        <w:t>中介协会</w:t>
      </w:r>
      <w:r>
        <w:rPr>
          <w:rFonts w:hint="eastAsia"/>
        </w:rPr>
        <w:t>按照判决结果</w:t>
      </w:r>
      <w:r>
        <w:t>填写争议部分最终退款方案，</w:t>
      </w:r>
      <w:r>
        <w:rPr>
          <w:rFonts w:hint="eastAsia"/>
        </w:rPr>
        <w:t>并</w:t>
      </w:r>
      <w:r>
        <w:t>直接按最终方案退款，退款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819910" cy="3442970"/>
            <wp:effectExtent l="0" t="0" r="8890" b="11430"/>
            <wp:docPr id="33" name="图片 33" descr="诉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诉讼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6.2.2.5.1不同意，选择诉讼</w:t>
      </w:r>
    </w:p>
    <w:p>
      <w:pPr>
        <w:pStyle w:val="19"/>
        <w:numPr>
          <w:ilvl w:val="2"/>
          <w:numId w:val="2"/>
        </w:numPr>
        <w:spacing w:before="0" w:after="0"/>
        <w:rPr>
          <w:highlight w:val="none"/>
        </w:rPr>
      </w:pPr>
      <w:bookmarkStart w:id="183" w:name="_Toc28030"/>
      <w:bookmarkStart w:id="184" w:name="_Toc17917"/>
      <w:bookmarkStart w:id="185" w:name="_Toc10485"/>
      <w:bookmarkStart w:id="186" w:name="_Toc27031"/>
      <w:r>
        <w:rPr>
          <w:rFonts w:hint="eastAsia"/>
          <w:highlight w:val="none"/>
        </w:rPr>
        <w:t>特殊情况</w:t>
      </w:r>
      <w:bookmarkEnd w:id="183"/>
      <w:bookmarkEnd w:id="184"/>
      <w:bookmarkEnd w:id="185"/>
      <w:bookmarkEnd w:id="186"/>
    </w:p>
    <w:p>
      <w:pPr>
        <w:pStyle w:val="20"/>
        <w:spacing w:before="0" w:after="0"/>
        <w:ind w:firstLine="640"/>
        <w:rPr>
          <w:highlight w:val="yellow"/>
        </w:rPr>
      </w:pPr>
      <w:r>
        <w:rPr>
          <w:highlight w:val="none"/>
        </w:rPr>
        <w:t>退款方案</w:t>
      </w:r>
      <w:r>
        <w:rPr>
          <w:rFonts w:hint="eastAsia"/>
          <w:highlight w:val="none"/>
        </w:rPr>
        <w:t>中</w:t>
      </w:r>
      <w:r>
        <w:rPr>
          <w:highlight w:val="none"/>
        </w:rPr>
        <w:t>收款人户名固定为承租人姓名，不支持修改。如有特殊情况需变更收款人户名，</w:t>
      </w:r>
      <w:r>
        <w:rPr>
          <w:rFonts w:hint="eastAsia"/>
          <w:highlight w:val="none"/>
        </w:rPr>
        <w:t>待</w:t>
      </w:r>
      <w:r>
        <w:rPr>
          <w:rFonts w:hint="eastAsia"/>
          <w:highlight w:val="none"/>
          <w:lang w:val="en-US" w:eastAsia="zh-CN"/>
        </w:rPr>
        <w:t>退款指令</w:t>
      </w:r>
      <w:r>
        <w:rPr>
          <w:rFonts w:hint="eastAsia"/>
          <w:highlight w:val="none"/>
        </w:rPr>
        <w:t>支付失败后，</w:t>
      </w:r>
      <w:r>
        <w:rPr>
          <w:rFonts w:hint="eastAsia"/>
          <w:highlight w:val="none"/>
          <w:lang w:val="en-US" w:eastAsia="zh-CN"/>
        </w:rPr>
        <w:t>需由企业端发起“承租人收款失败”特殊处理流程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中介协会审批通过后，退款按新收款人信息支付，退款流程完成。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J7cdktAgAAV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GJ7cd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3A8987"/>
    <w:multiLevelType w:val="multilevel"/>
    <w:tmpl w:val="A63A898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DC84323"/>
    <w:multiLevelType w:val="multilevel"/>
    <w:tmpl w:val="3DC84323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640"/>
      </w:pPr>
      <w:rPr>
        <w:rFonts w:hint="default"/>
      </w:rPr>
    </w:lvl>
    <w:lvl w:ilvl="1" w:tentative="0">
      <w:start w:val="1"/>
      <w:numFmt w:val="decimal"/>
      <w:suff w:val="nothing"/>
      <w:lvlText w:val="%1.%2."/>
      <w:lvlJc w:val="left"/>
      <w:pPr>
        <w:ind w:left="0" w:firstLine="640"/>
      </w:pPr>
      <w:rPr>
        <w:rFonts w:hint="default" w:ascii="楷体_GB2312" w:hAnsi="楷体_GB2312" w:eastAsia="楷体_GB2312"/>
        <w:sz w:val="32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0"/>
        </w:tabs>
        <w:ind w:left="0" w:firstLine="640"/>
      </w:pPr>
      <w:rPr>
        <w:rFonts w:hint="default" w:ascii="仿宋_GB2312" w:hAnsi="仿宋_GB2312" w:eastAsia="仿宋_GB2312"/>
        <w:sz w:val="32"/>
      </w:rPr>
    </w:lvl>
    <w:lvl w:ilvl="3" w:tentative="0">
      <w:start w:val="1"/>
      <w:numFmt w:val="decimal"/>
      <w:pStyle w:val="21"/>
      <w:suff w:val="nothing"/>
      <w:lvlText w:val="%1.%2.%3.%4.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F8E3195"/>
    <w:rsid w:val="001E0212"/>
    <w:rsid w:val="002034FE"/>
    <w:rsid w:val="00287CA7"/>
    <w:rsid w:val="0059236B"/>
    <w:rsid w:val="00730227"/>
    <w:rsid w:val="00D54587"/>
    <w:rsid w:val="00D57696"/>
    <w:rsid w:val="00E4162C"/>
    <w:rsid w:val="03E37CED"/>
    <w:rsid w:val="03FD5217"/>
    <w:rsid w:val="044E0E32"/>
    <w:rsid w:val="06ED482E"/>
    <w:rsid w:val="0770077B"/>
    <w:rsid w:val="0E57246B"/>
    <w:rsid w:val="0F8E3195"/>
    <w:rsid w:val="0FF47A8D"/>
    <w:rsid w:val="12E070F9"/>
    <w:rsid w:val="1390019C"/>
    <w:rsid w:val="170F26A3"/>
    <w:rsid w:val="18D832E3"/>
    <w:rsid w:val="1A4C4A92"/>
    <w:rsid w:val="1BB83287"/>
    <w:rsid w:val="1BF400F4"/>
    <w:rsid w:val="1C774414"/>
    <w:rsid w:val="1DA123F0"/>
    <w:rsid w:val="1E5A43BF"/>
    <w:rsid w:val="22CD3D51"/>
    <w:rsid w:val="237E189B"/>
    <w:rsid w:val="2432024A"/>
    <w:rsid w:val="244E44DA"/>
    <w:rsid w:val="2526488F"/>
    <w:rsid w:val="25547A97"/>
    <w:rsid w:val="25CC2F8D"/>
    <w:rsid w:val="29AD2BDA"/>
    <w:rsid w:val="2CE71A16"/>
    <w:rsid w:val="2D3447B9"/>
    <w:rsid w:val="2D7773C5"/>
    <w:rsid w:val="2DF247E5"/>
    <w:rsid w:val="2F586C14"/>
    <w:rsid w:val="309C4B4F"/>
    <w:rsid w:val="31C817F4"/>
    <w:rsid w:val="329436CE"/>
    <w:rsid w:val="33626FA7"/>
    <w:rsid w:val="33660419"/>
    <w:rsid w:val="33D47D4F"/>
    <w:rsid w:val="34BC3FA2"/>
    <w:rsid w:val="36925278"/>
    <w:rsid w:val="38043251"/>
    <w:rsid w:val="39AE7AA0"/>
    <w:rsid w:val="3B1638F9"/>
    <w:rsid w:val="3B4427E2"/>
    <w:rsid w:val="3D3A1978"/>
    <w:rsid w:val="40231B9B"/>
    <w:rsid w:val="40293298"/>
    <w:rsid w:val="41E81277"/>
    <w:rsid w:val="4315253F"/>
    <w:rsid w:val="466A75C4"/>
    <w:rsid w:val="4B9D3E89"/>
    <w:rsid w:val="4C9731CA"/>
    <w:rsid w:val="4D5E528B"/>
    <w:rsid w:val="4ED35788"/>
    <w:rsid w:val="4ED459DD"/>
    <w:rsid w:val="4F610FE6"/>
    <w:rsid w:val="4FB57380"/>
    <w:rsid w:val="516B71DE"/>
    <w:rsid w:val="54616D69"/>
    <w:rsid w:val="54813591"/>
    <w:rsid w:val="54A35C23"/>
    <w:rsid w:val="55712510"/>
    <w:rsid w:val="58D84F64"/>
    <w:rsid w:val="58F05CCB"/>
    <w:rsid w:val="59166723"/>
    <w:rsid w:val="5980602B"/>
    <w:rsid w:val="5A977627"/>
    <w:rsid w:val="5C7045E5"/>
    <w:rsid w:val="5CA33BBD"/>
    <w:rsid w:val="5F8E71CC"/>
    <w:rsid w:val="5FD41360"/>
    <w:rsid w:val="617110CB"/>
    <w:rsid w:val="62E2104F"/>
    <w:rsid w:val="66630D48"/>
    <w:rsid w:val="66E6079A"/>
    <w:rsid w:val="67CF4B9A"/>
    <w:rsid w:val="67E11CE2"/>
    <w:rsid w:val="69281806"/>
    <w:rsid w:val="698E07D2"/>
    <w:rsid w:val="6CB467A2"/>
    <w:rsid w:val="6D147240"/>
    <w:rsid w:val="6DCF4F15"/>
    <w:rsid w:val="6DDC5E22"/>
    <w:rsid w:val="703F3DA4"/>
    <w:rsid w:val="724F4BC5"/>
    <w:rsid w:val="732F4E02"/>
    <w:rsid w:val="73B44244"/>
    <w:rsid w:val="74CC6652"/>
    <w:rsid w:val="75AA17AB"/>
    <w:rsid w:val="764E04BE"/>
    <w:rsid w:val="77530465"/>
    <w:rsid w:val="7A5D4225"/>
    <w:rsid w:val="7C266B9B"/>
    <w:rsid w:val="7F67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Lines="0" w:beforeAutospacing="0" w:afterLines="0" w:afterAutospacing="0" w:line="560" w:lineRule="exact"/>
      <w:ind w:left="432" w:hanging="432" w:firstLineChars="0"/>
      <w:outlineLvl w:val="0"/>
    </w:pPr>
    <w:rPr>
      <w:rFonts w:ascii="Times New Roman" w:hAnsi="Times New Roman" w:eastAsia="黑体"/>
      <w:kern w:val="44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rPr>
      <w:rFonts w:ascii="黑体" w:hAnsi="黑体" w:eastAsia="黑体"/>
      <w:sz w:val="28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spacing w:line="440" w:lineRule="exact"/>
      <w:ind w:left="0" w:leftChars="0" w:firstLine="420" w:firstLineChars="200"/>
    </w:pPr>
    <w:rPr>
      <w:rFonts w:ascii="宋体" w:hAnsi="宋体" w:eastAsia="宋体"/>
      <w:sz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0"/>
    <w:pPr>
      <w:spacing w:line="440" w:lineRule="exact"/>
    </w:pPr>
    <w:rPr>
      <w:rFonts w:ascii="宋体" w:hAnsi="宋体" w:eastAsia="宋体"/>
      <w:sz w:val="28"/>
      <w:szCs w:val="28"/>
    </w:rPr>
  </w:style>
  <w:style w:type="paragraph" w:styleId="10">
    <w:name w:val="toc 4"/>
    <w:basedOn w:val="1"/>
    <w:next w:val="1"/>
    <w:qFormat/>
    <w:uiPriority w:val="0"/>
    <w:pPr>
      <w:spacing w:line="440" w:lineRule="exact"/>
      <w:ind w:left="0" w:leftChars="0" w:firstLine="630" w:firstLineChars="300"/>
    </w:pPr>
    <w:rPr>
      <w:rFonts w:ascii="宋体" w:hAnsi="宋体" w:eastAsia="宋体"/>
      <w:sz w:val="28"/>
    </w:rPr>
  </w:style>
  <w:style w:type="paragraph" w:styleId="11">
    <w:name w:val="toc 2"/>
    <w:basedOn w:val="1"/>
    <w:next w:val="1"/>
    <w:qFormat/>
    <w:uiPriority w:val="0"/>
    <w:pPr>
      <w:spacing w:line="440" w:lineRule="exact"/>
      <w:ind w:left="0" w:leftChars="0" w:firstLine="210" w:firstLineChars="100"/>
    </w:pPr>
    <w:rPr>
      <w:rFonts w:ascii="宋体" w:hAnsi="宋体" w:eastAsia="宋体"/>
      <w:sz w:val="28"/>
    </w:rPr>
  </w:style>
  <w:style w:type="paragraph" w:styleId="12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5">
    <w:name w:val="annotation reference"/>
    <w:basedOn w:val="14"/>
    <w:qFormat/>
    <w:uiPriority w:val="0"/>
    <w:rPr>
      <w:sz w:val="21"/>
      <w:szCs w:val="21"/>
    </w:rPr>
  </w:style>
  <w:style w:type="paragraph" w:customStyle="1" w:styleId="16">
    <w:name w:val="公积金—标题一"/>
    <w:basedOn w:val="12"/>
    <w:next w:val="17"/>
    <w:qFormat/>
    <w:uiPriority w:val="0"/>
    <w:pPr>
      <w:spacing w:line="560" w:lineRule="exact"/>
    </w:pPr>
    <w:rPr>
      <w:rFonts w:eastAsia="方正小标宋简体" w:asciiTheme="minorHAnsi" w:hAnsiTheme="minorHAnsi"/>
      <w:b w:val="0"/>
      <w:sz w:val="44"/>
    </w:rPr>
  </w:style>
  <w:style w:type="paragraph" w:customStyle="1" w:styleId="17">
    <w:name w:val="公积金—标题二"/>
    <w:basedOn w:val="16"/>
    <w:next w:val="18"/>
    <w:qFormat/>
    <w:uiPriority w:val="0"/>
    <w:pPr>
      <w:ind w:firstLine="420" w:firstLineChars="200"/>
      <w:jc w:val="both"/>
    </w:pPr>
    <w:rPr>
      <w:rFonts w:ascii="黑体" w:hAnsi="黑体" w:eastAsia="黑体"/>
      <w:sz w:val="32"/>
    </w:rPr>
  </w:style>
  <w:style w:type="paragraph" w:customStyle="1" w:styleId="18">
    <w:name w:val="公积金—标题三"/>
    <w:basedOn w:val="17"/>
    <w:next w:val="19"/>
    <w:qFormat/>
    <w:uiPriority w:val="0"/>
    <w:pPr>
      <w:outlineLvl w:val="1"/>
    </w:pPr>
    <w:rPr>
      <w:rFonts w:ascii="楷体_GB2312" w:hAnsi="楷体_GB2312" w:eastAsia="楷体_GB2312"/>
    </w:rPr>
  </w:style>
  <w:style w:type="paragraph" w:customStyle="1" w:styleId="19">
    <w:name w:val="公积金—标题四"/>
    <w:basedOn w:val="18"/>
    <w:next w:val="20"/>
    <w:qFormat/>
    <w:uiPriority w:val="0"/>
    <w:pPr>
      <w:outlineLvl w:val="2"/>
    </w:pPr>
    <w:rPr>
      <w:rFonts w:ascii="仿宋_GB2312" w:hAnsi="仿宋_GB2312" w:eastAsia="仿宋_GB2312"/>
    </w:rPr>
  </w:style>
  <w:style w:type="paragraph" w:customStyle="1" w:styleId="20">
    <w:name w:val="公积金—正文"/>
    <w:basedOn w:val="19"/>
    <w:qFormat/>
    <w:uiPriority w:val="0"/>
    <w:pPr>
      <w:outlineLvl w:val="9"/>
    </w:pPr>
    <w:rPr>
      <w:rFonts w:ascii="仿宋_GB2312" w:hAnsi="仿宋_GB2312"/>
    </w:rPr>
  </w:style>
  <w:style w:type="paragraph" w:customStyle="1" w:styleId="21">
    <w:name w:val="公积金—标题五"/>
    <w:basedOn w:val="19"/>
    <w:next w:val="20"/>
    <w:qFormat/>
    <w:uiPriority w:val="0"/>
    <w:pPr>
      <w:numPr>
        <w:ilvl w:val="3"/>
        <w:numId w:val="2"/>
      </w:numPr>
      <w:tabs>
        <w:tab w:val="left" w:pos="0"/>
      </w:tabs>
      <w:ind w:firstLine="1134"/>
      <w:outlineLvl w:val="3"/>
    </w:pPr>
  </w:style>
  <w:style w:type="paragraph" w:customStyle="1" w:styleId="22">
    <w:name w:val="公文正文"/>
    <w:basedOn w:val="1"/>
    <w:next w:val="12"/>
    <w:qFormat/>
    <w:uiPriority w:val="0"/>
    <w:pPr>
      <w:spacing w:line="620" w:lineRule="exact"/>
      <w:ind w:firstLine="880" w:firstLineChars="200"/>
    </w:pPr>
    <w:rPr>
      <w:rFonts w:eastAsia="方正仿宋_GBK"/>
      <w:sz w:val="32"/>
    </w:rPr>
  </w:style>
  <w:style w:type="paragraph" w:customStyle="1" w:styleId="2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1505</Words>
  <Characters>8580</Characters>
  <Lines>71</Lines>
  <Paragraphs>20</Paragraphs>
  <TotalTime>21</TotalTime>
  <ScaleCrop>false</ScaleCrop>
  <LinksUpToDate>false</LinksUpToDate>
  <CharactersWithSpaces>10065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2024-08-15T03:07:00Z</dcterms:created>
  <dc:creator>罹难临暗</dc:creator>
  <cp:lastModifiedBy>user</cp:lastModifiedBy>
  <dcterms:modified xsi:type="dcterms:W3CDTF">2024-09-26T01:11:38Z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3F27FF0DF5BC461DAAF953E48DF39A49</vt:lpwstr>
  </property>
</Properties>
</file>