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代理机构服务承诺</w:t>
      </w:r>
    </w:p>
    <w:p>
      <w:pPr>
        <w:spacing w:line="560" w:lineRule="exact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spacing w:line="560" w:lineRule="exact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北京住房公积金管理中心：</w:t>
      </w:r>
    </w:p>
    <w:p>
      <w:pPr>
        <w:widowControl/>
        <w:spacing w:line="560" w:lineRule="exact"/>
        <w:ind w:firstLine="444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 我单位承诺在代理贵中心二手房纯公积金贷款抵押物评估服务项目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和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二手房装配式建筑等级评估及绿色建筑查询项目</w:t>
      </w:r>
      <w:r>
        <w:rPr>
          <w:rFonts w:hint="eastAsia" w:ascii="仿宋_GB2312" w:hAnsi="Calibri" w:eastAsia="仿宋_GB2312" w:cs="黑体"/>
          <w:sz w:val="32"/>
          <w:szCs w:val="32"/>
        </w:rPr>
        <w:t>公开招标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或竞争性磋商</w:t>
      </w:r>
      <w:r>
        <w:rPr>
          <w:rFonts w:hint="eastAsia" w:ascii="仿宋_GB2312" w:hAnsi="Calibri" w:eastAsia="仿宋_GB2312" w:cs="黑体"/>
          <w:sz w:val="32"/>
          <w:szCs w:val="32"/>
        </w:rPr>
        <w:t>过程中：</w:t>
      </w:r>
    </w:p>
    <w:p>
      <w:pPr>
        <w:widowControl/>
        <w:spacing w:line="560" w:lineRule="exact"/>
        <w:ind w:firstLine="444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 1.正确履行代理机构义务，贯彻执行国家相关法律、法</w:t>
      </w:r>
      <w:bookmarkStart w:id="0" w:name="_GoBack"/>
      <w:bookmarkEnd w:id="0"/>
      <w:r>
        <w:rPr>
          <w:rFonts w:hint="eastAsia" w:ascii="仿宋_GB2312" w:hAnsi="Calibri" w:eastAsia="仿宋_GB2312" w:cs="黑体"/>
          <w:sz w:val="32"/>
          <w:szCs w:val="32"/>
        </w:rPr>
        <w:t>规和规章，保证招标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、竞争性磋商</w:t>
      </w:r>
      <w:r>
        <w:rPr>
          <w:rFonts w:hint="eastAsia" w:ascii="仿宋_GB2312" w:hAnsi="Calibri" w:eastAsia="仿宋_GB2312" w:cs="黑体"/>
          <w:sz w:val="32"/>
          <w:szCs w:val="32"/>
        </w:rPr>
        <w:t>过程严谨规范，廉洁自律不损害采购人正当利益。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2.项目代理过程中，积极配合采购人完成相关工作，提出合理化建议和安排。当发生质疑或投诉事项时，积极解决问题，不推卸责任，出现问题及时沟通并在第一时间作出解决方案。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Calibri" w:eastAsia="仿宋_GB2312" w:cs="黑体"/>
          <w:sz w:val="32"/>
          <w:szCs w:val="32"/>
          <w:u w:val="single"/>
        </w:rPr>
      </w:pPr>
      <w:r>
        <w:rPr>
          <w:rFonts w:hint="eastAsia" w:ascii="仿宋_GB2312" w:hAnsi="Calibri" w:eastAsia="仿宋_GB2312" w:cs="黑体"/>
          <w:sz w:val="32"/>
          <w:szCs w:val="32"/>
        </w:rPr>
        <w:t>承诺方全称（盖章）：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480" w:firstLineChars="15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承诺日期：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</w:t>
      </w:r>
    </w:p>
    <w:p>
      <w:pPr>
        <w:spacing w:line="580" w:lineRule="exact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spacing w:line="580" w:lineRule="exact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spacing w:line="580" w:lineRule="exact"/>
        <w:rPr>
          <w:rFonts w:hint="eastAsia" w:ascii="仿宋_GB2312" w:hAnsi="Calibri" w:eastAsia="仿宋_GB2312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TNmNjQ0NmU5NGU2MzAxODRkZTU0NWFkM2U0NGEifQ=="/>
  </w:docVars>
  <w:rsids>
    <w:rsidRoot w:val="17535C18"/>
    <w:rsid w:val="175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2024-06-28T01:37:00Z</dcterms:created>
  <dc:creator>米俾氨录城</dc:creator>
  <cp:lastModifiedBy>米俾氨录城</cp:lastModifiedBy>
  <dcterms:modified xsi:type="dcterms:W3CDTF">2024-06-28T01:37:27Z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92497DD78DFD448084BC2629BBD44156_11</vt:lpwstr>
  </property>
</Properties>
</file>