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4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bidi="ar"/>
        </w:rPr>
        <w:t>附件1</w:t>
      </w:r>
    </w:p>
    <w:p w14:paraId="6D67F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黑体"/>
          <w:sz w:val="44"/>
          <w:szCs w:val="44"/>
          <w:u w:val="none"/>
        </w:rPr>
      </w:pPr>
    </w:p>
    <w:p w14:paraId="7F88E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u w:val="none"/>
          <w:lang w:bidi="ar"/>
        </w:rPr>
        <w:t>202</w:t>
      </w: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u w:val="none"/>
          <w:lang w:val="en-US" w:eastAsia="zh-CN" w:bidi="ar"/>
        </w:rPr>
        <w:t>5</w:t>
      </w: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u w:val="none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bidi="ar"/>
        </w:rPr>
        <w:t>融媒体对外宣传项目合作机构</w:t>
      </w:r>
    </w:p>
    <w:p w14:paraId="4B39F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u w:val="none"/>
          <w:lang w:eastAsia="zh-Hans" w:bidi="ar"/>
        </w:rPr>
        <w:t>工作内容及相关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bidi="ar"/>
        </w:rPr>
        <w:t>要求</w:t>
      </w:r>
    </w:p>
    <w:p w14:paraId="6D26F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  <w:u w:val="none"/>
          <w:lang w:val="zh-CN"/>
        </w:rPr>
      </w:pPr>
    </w:p>
    <w:p w14:paraId="00C64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项目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u w:val="none"/>
        </w:rPr>
        <w:t>：舆情监测服务</w:t>
      </w:r>
    </w:p>
    <w:p w14:paraId="69ED1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1.工作内容。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对涉及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住房公积金及住房资金领域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的网络舆情进行全时监测及分析研判，并提出建设性的对策建议；根据中心工作需要或遇有较大舆情风险和突发性舆情开展专项监测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对国内住房保障领域相关政策法规、专家解读、发展规划、重要举措进行每日监测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，并提供信息资料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。</w:t>
      </w:r>
    </w:p>
    <w:p w14:paraId="02CE3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2.服务要求。</w:t>
      </w:r>
    </w:p>
    <w:p w14:paraId="0952F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（1）舆情季报：全时做好日常舆情监测并提供针对性意见建议，按季汇编成册向中心提供，共计4期，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提供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电子版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材料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，并邮寄纸质版本30本。</w:t>
      </w:r>
    </w:p>
    <w:p w14:paraId="229AC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（2）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专项舆情监测：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根据中心工作需要或遇有较大舆情风险和突发性舆情开展专项监测，原则上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于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1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个自然日内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向中心提供《重点舆情监测分析报告》并提供针对性对策建议。</w:t>
      </w:r>
    </w:p>
    <w:p w14:paraId="6D39F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（3）舆情参考：按日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监测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主流媒体对涉及住房保障领域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的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宣传报道信息，并根据用户高度关注的话题，如房地产行业、全国住房政策变化等。每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提供1期，共提供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至少250天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的服务，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每周对提供信息进行汇总并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通过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电子版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形式报送。</w:t>
      </w:r>
    </w:p>
    <w:p w14:paraId="55A0B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微软雅黑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3.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  <w:t>项目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  <w:lang w:eastAsia="zh-CN"/>
        </w:rPr>
        <w:t>预算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。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  <w:lang w:eastAsia="zh-CN"/>
        </w:rPr>
        <w:t>预算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</w:rPr>
        <w:t>为35万元。</w:t>
      </w:r>
    </w:p>
    <w:p w14:paraId="0C58E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项目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纸媒宣传</w:t>
      </w:r>
    </w:p>
    <w:p w14:paraId="6B01E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1.工作内容。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按照中心需求，通过纸质媒体刊物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整版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宣传和单篇稿件宣传等多种形式对中心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重点工作、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业务政策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便民服务举措及身边先进典型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进行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专题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宣传，并在主流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政务新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媒体网上渠道推送传播。</w:t>
      </w:r>
    </w:p>
    <w:p w14:paraId="3394F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2.服务要求。</w:t>
      </w:r>
    </w:p>
    <w:p w14:paraId="11F1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（1）合作期内在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所属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纸质媒体刊物上发布不少于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个整版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个半版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及20个通栏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的宣传内容，并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根据中心工作需要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在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主流政务新媒体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网上渠道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推送传播。</w:t>
      </w:r>
    </w:p>
    <w:p w14:paraId="0410C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（2）合作机构应根据中心的要求为每期宣传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内容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提供文案策划及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组稿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，以及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根据宣传需要涉及的实地取景摄像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等工作，做好宣传产品展现形式的美编、排版、设计等工作，并配备专业服务团队，指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定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专人负责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日常工作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对接，确保服务质量。</w:t>
      </w:r>
    </w:p>
    <w:p w14:paraId="1A96A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（3）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原则上在</w:t>
      </w:r>
      <w:r>
        <w:rPr>
          <w:rFonts w:ascii="仿宋_GB2312" w:hAnsi="Times New Roman" w:eastAsia="仿宋_GB2312"/>
          <w:kern w:val="0"/>
          <w:sz w:val="32"/>
          <w:szCs w:val="32"/>
          <w:u w:val="none"/>
          <w:lang w:eastAsia="zh-Hans"/>
        </w:rPr>
        <w:t>3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个工作日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提供宣传作品，初步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成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品根据中心要求，每次在2个工作日内完成修改完善。</w:t>
      </w:r>
    </w:p>
    <w:p w14:paraId="46683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微软雅黑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3.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  <w:t>项目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  <w:lang w:eastAsia="zh-CN"/>
        </w:rPr>
        <w:t>预算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。</w:t>
      </w:r>
      <w:r>
        <w:rPr>
          <w:rFonts w:hint="eastAsia" w:ascii="仿宋_GB2312" w:hAnsi="Times New Roman" w:eastAsia="仿宋_GB2312"/>
          <w:b w:val="0"/>
          <w:bCs w:val="0"/>
          <w:kern w:val="0"/>
          <w:sz w:val="32"/>
          <w:szCs w:val="32"/>
          <w:u w:val="none"/>
          <w:lang w:eastAsia="zh-CN"/>
        </w:rPr>
        <w:t>预算为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</w:rPr>
        <w:t>60万元。</w:t>
      </w:r>
    </w:p>
    <w:p w14:paraId="07633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项目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日常业务宣传</w:t>
      </w:r>
    </w:p>
    <w:p w14:paraId="1F797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1.工作内容。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围绕中心惠民利企政策及单位文化展示内容，结合中心重点工作、新发布的业务政策和服务举措，有效利用政务新媒体平台通过编辑制作文字稿件、一图读懂、海报等图文并茂、生动形象、群众喜闻乐见的宣传产品，及时更新宣传内容，做到主动发声、解疑释惑，营造良好舆论氛围，不断加大政策普及的力度，充分展示公积金中心良好形象。</w:t>
      </w:r>
    </w:p>
    <w:p w14:paraId="52DE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  <w:t>2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.服务要求。</w:t>
      </w:r>
    </w:p>
    <w:p w14:paraId="3FFFC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eastAsia="仿宋_GB231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（1）全年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不少于36个宣传作品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应形式新颖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富有设计感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公众喜闻乐见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可用于微信公众号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微博等政务新媒体平台宣传展示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</w:rPr>
        <w:t>。</w:t>
      </w:r>
    </w:p>
    <w:p w14:paraId="47C7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）需配备专业服务团队，指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定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专人负责日常工作对接，确保服务质量。</w:t>
      </w:r>
    </w:p>
    <w:p w14:paraId="2049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）日常业务宣传原则上在</w:t>
      </w:r>
      <w:r>
        <w:rPr>
          <w:rFonts w:ascii="仿宋_GB2312" w:hAnsi="Times New Roman" w:eastAsia="仿宋_GB2312"/>
          <w:kern w:val="0"/>
          <w:sz w:val="32"/>
          <w:szCs w:val="32"/>
          <w:u w:val="none"/>
          <w:lang w:eastAsia="zh-Hans"/>
        </w:rPr>
        <w:t>3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内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提供宣传作品，初步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成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品根据要求，每次在2日内完成修改完善。</w:t>
      </w:r>
    </w:p>
    <w:p w14:paraId="74FD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微软雅黑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3.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  <w:t>项目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  <w:lang w:eastAsia="zh-CN"/>
        </w:rPr>
        <w:t>预算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。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  <w:lang w:eastAsia="zh-CN"/>
        </w:rPr>
        <w:t>预算为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  <w:lang w:val="en-US" w:eastAsia="zh-CN"/>
        </w:rPr>
        <w:t>45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</w:rPr>
        <w:t>万元。</w:t>
      </w:r>
    </w:p>
    <w:p w14:paraId="14DDE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eastAsia="黑体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项目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专项业务宣传</w:t>
      </w:r>
    </w:p>
    <w:p w14:paraId="56B2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1.工作内容。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围绕中心惠民利企政策及单位文化展示内容，结合中心重点工作、新发布的业务政策和服务举措，展现党建引领作用和党员干部职工风采，制作视频形式宣传作品，及时更新宣传内容，营造良好舆论氛围。</w:t>
      </w:r>
    </w:p>
    <w:p w14:paraId="63C59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  <w:t>2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.服务要求。</w:t>
      </w:r>
    </w:p>
    <w:p w14:paraId="533F3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（1）全年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不少于25个视频宣传作品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每期宣传作品平均时长为2分钟左右，根据宣传内容设计宣传视频脚本，提供拍摄制作思路，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应形式新颖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富有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创意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可用于微信公众号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微博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抖音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等政务新媒体平台宣传展示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</w:rPr>
        <w:t>。</w:t>
      </w:r>
    </w:p>
    <w:p w14:paraId="5655B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拍摄制作不少于5个党建专题宣传视频，每个视频约3-5分钟。</w:t>
      </w:r>
    </w:p>
    <w:p w14:paraId="2A78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制作1期服贸会专题宣传片，不少于5分钟。</w:t>
      </w:r>
    </w:p>
    <w:p w14:paraId="3DAD6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需配备专业服务团队，指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定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专人负责日常工作对接，确保服务质量。</w:t>
      </w:r>
    </w:p>
    <w:p w14:paraId="5FC7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（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）日常业务宣传原则上在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CN"/>
        </w:rPr>
        <w:t>内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提供宣传作品，初步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  <w:lang w:eastAsia="zh-Hans"/>
        </w:rPr>
        <w:t>成</w:t>
      </w:r>
      <w:r>
        <w:rPr>
          <w:rFonts w:hint="eastAsia" w:ascii="仿宋_GB2312" w:hAnsi="Times New Roman" w:eastAsia="仿宋_GB2312"/>
          <w:kern w:val="0"/>
          <w:sz w:val="32"/>
          <w:szCs w:val="32"/>
          <w:u w:val="none"/>
        </w:rPr>
        <w:t>品根据要求，每次在2日内完成修改完善。</w:t>
      </w:r>
    </w:p>
    <w:p w14:paraId="57421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ascii="仿宋_GB2312" w:hAnsi="微软雅黑" w:eastAsia="仿宋_GB2312"/>
          <w:kern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3.</w:t>
      </w:r>
      <w:r>
        <w:rPr>
          <w:rFonts w:ascii="仿宋_GB2312" w:hAnsi="Times New Roman" w:eastAsia="仿宋_GB2312"/>
          <w:b/>
          <w:bCs/>
          <w:kern w:val="0"/>
          <w:sz w:val="32"/>
          <w:szCs w:val="32"/>
          <w:u w:val="none"/>
        </w:rPr>
        <w:t>项目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  <w:lang w:eastAsia="zh-CN"/>
        </w:rPr>
        <w:t>预算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u w:val="none"/>
        </w:rPr>
        <w:t>。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  <w:lang w:eastAsia="zh-CN"/>
        </w:rPr>
        <w:t>预算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</w:rPr>
        <w:t>为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  <w:lang w:val="en-US" w:eastAsia="zh-CN"/>
        </w:rPr>
        <w:t>71</w:t>
      </w:r>
      <w:r>
        <w:rPr>
          <w:rFonts w:hint="eastAsia" w:ascii="仿宋_GB2312" w:hAnsi="微软雅黑" w:eastAsia="仿宋_GB2312"/>
          <w:kern w:val="0"/>
          <w:sz w:val="32"/>
          <w:szCs w:val="32"/>
          <w:u w:val="none"/>
        </w:rPr>
        <w:t>万元。</w:t>
      </w:r>
    </w:p>
    <w:p w14:paraId="5C2D0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Liberation Sans">
    <w:altName w:val="苹方-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苹方-简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EBF1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EACB0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EACB0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D7722D"/>
    <w:rsid w:val="00055B42"/>
    <w:rsid w:val="00085DA5"/>
    <w:rsid w:val="000A057D"/>
    <w:rsid w:val="001247AD"/>
    <w:rsid w:val="001274D5"/>
    <w:rsid w:val="00167ECC"/>
    <w:rsid w:val="001B7910"/>
    <w:rsid w:val="001C76C7"/>
    <w:rsid w:val="001F5FBC"/>
    <w:rsid w:val="001F7B2B"/>
    <w:rsid w:val="00292257"/>
    <w:rsid w:val="002F3DEF"/>
    <w:rsid w:val="00335238"/>
    <w:rsid w:val="003A5D34"/>
    <w:rsid w:val="004564C6"/>
    <w:rsid w:val="0049607B"/>
    <w:rsid w:val="005437A6"/>
    <w:rsid w:val="005F3144"/>
    <w:rsid w:val="0061557B"/>
    <w:rsid w:val="006242D2"/>
    <w:rsid w:val="006323DE"/>
    <w:rsid w:val="00681136"/>
    <w:rsid w:val="00696C30"/>
    <w:rsid w:val="006F3AF8"/>
    <w:rsid w:val="00754AA3"/>
    <w:rsid w:val="00756107"/>
    <w:rsid w:val="00775EB6"/>
    <w:rsid w:val="0082286D"/>
    <w:rsid w:val="008761DD"/>
    <w:rsid w:val="00882F1E"/>
    <w:rsid w:val="008F5570"/>
    <w:rsid w:val="009321E4"/>
    <w:rsid w:val="009376C9"/>
    <w:rsid w:val="009663CE"/>
    <w:rsid w:val="009B08DB"/>
    <w:rsid w:val="009F4DDC"/>
    <w:rsid w:val="009F5E8E"/>
    <w:rsid w:val="00A019FF"/>
    <w:rsid w:val="00A4185B"/>
    <w:rsid w:val="00A942AC"/>
    <w:rsid w:val="00BB7BAF"/>
    <w:rsid w:val="00BD08C6"/>
    <w:rsid w:val="00BE5A2A"/>
    <w:rsid w:val="00C5456C"/>
    <w:rsid w:val="00C55372"/>
    <w:rsid w:val="00D05112"/>
    <w:rsid w:val="00D60798"/>
    <w:rsid w:val="00D7722D"/>
    <w:rsid w:val="00E077F0"/>
    <w:rsid w:val="00E171B7"/>
    <w:rsid w:val="00E62F10"/>
    <w:rsid w:val="00EC2C50"/>
    <w:rsid w:val="00EE24D3"/>
    <w:rsid w:val="00F13604"/>
    <w:rsid w:val="00F2626C"/>
    <w:rsid w:val="00F5587E"/>
    <w:rsid w:val="00F64514"/>
    <w:rsid w:val="00F8570B"/>
    <w:rsid w:val="00FF7FB7"/>
    <w:rsid w:val="03851EF6"/>
    <w:rsid w:val="05151950"/>
    <w:rsid w:val="05571F68"/>
    <w:rsid w:val="06EC66E0"/>
    <w:rsid w:val="083A3E87"/>
    <w:rsid w:val="09695024"/>
    <w:rsid w:val="09B67DF1"/>
    <w:rsid w:val="0A1664DA"/>
    <w:rsid w:val="0A692B0B"/>
    <w:rsid w:val="0AFD6A3A"/>
    <w:rsid w:val="0B6E1DBA"/>
    <w:rsid w:val="0CFD33F5"/>
    <w:rsid w:val="0DF1415D"/>
    <w:rsid w:val="0EA7186A"/>
    <w:rsid w:val="11B85B3D"/>
    <w:rsid w:val="12067AF4"/>
    <w:rsid w:val="15D01FC1"/>
    <w:rsid w:val="16BD9366"/>
    <w:rsid w:val="182C4B8E"/>
    <w:rsid w:val="18714A89"/>
    <w:rsid w:val="1ABC044C"/>
    <w:rsid w:val="1D5E5F2B"/>
    <w:rsid w:val="1D630415"/>
    <w:rsid w:val="1DB6266A"/>
    <w:rsid w:val="1DE008F5"/>
    <w:rsid w:val="1E110AAE"/>
    <w:rsid w:val="1E77393A"/>
    <w:rsid w:val="1ECD1E92"/>
    <w:rsid w:val="1EFF67DA"/>
    <w:rsid w:val="209F3277"/>
    <w:rsid w:val="21C33653"/>
    <w:rsid w:val="22D92F66"/>
    <w:rsid w:val="23EE08E5"/>
    <w:rsid w:val="24F160DB"/>
    <w:rsid w:val="252B6E73"/>
    <w:rsid w:val="2C1F8886"/>
    <w:rsid w:val="2C2E4F21"/>
    <w:rsid w:val="2CBFF7E9"/>
    <w:rsid w:val="2DDBB90E"/>
    <w:rsid w:val="2FAE4304"/>
    <w:rsid w:val="31B02B14"/>
    <w:rsid w:val="33F9A452"/>
    <w:rsid w:val="34034EE6"/>
    <w:rsid w:val="34DE97E4"/>
    <w:rsid w:val="353A4937"/>
    <w:rsid w:val="35643762"/>
    <w:rsid w:val="35A93F1E"/>
    <w:rsid w:val="3775999C"/>
    <w:rsid w:val="37F759DE"/>
    <w:rsid w:val="37FF4AA7"/>
    <w:rsid w:val="37FF88B1"/>
    <w:rsid w:val="39897C3B"/>
    <w:rsid w:val="3A9FDA21"/>
    <w:rsid w:val="3B2A3E5B"/>
    <w:rsid w:val="3B697D24"/>
    <w:rsid w:val="3BF5E728"/>
    <w:rsid w:val="3DBDB6A8"/>
    <w:rsid w:val="3DFB731C"/>
    <w:rsid w:val="3DFBBDF1"/>
    <w:rsid w:val="3E8711B8"/>
    <w:rsid w:val="3E9F0586"/>
    <w:rsid w:val="3EDC512F"/>
    <w:rsid w:val="3F4D08CA"/>
    <w:rsid w:val="3F7F89AA"/>
    <w:rsid w:val="3F8A2017"/>
    <w:rsid w:val="3FEF537D"/>
    <w:rsid w:val="427F7725"/>
    <w:rsid w:val="44CF8FAB"/>
    <w:rsid w:val="46324CE5"/>
    <w:rsid w:val="46E464B1"/>
    <w:rsid w:val="475951FA"/>
    <w:rsid w:val="4B2A5E3B"/>
    <w:rsid w:val="4BC863A1"/>
    <w:rsid w:val="4C1E06B7"/>
    <w:rsid w:val="4CB22375"/>
    <w:rsid w:val="4EF7A55D"/>
    <w:rsid w:val="4F1F56B4"/>
    <w:rsid w:val="4F7D74A2"/>
    <w:rsid w:val="51713037"/>
    <w:rsid w:val="52977159"/>
    <w:rsid w:val="55DF0150"/>
    <w:rsid w:val="55F5B707"/>
    <w:rsid w:val="55FBC837"/>
    <w:rsid w:val="566D64C3"/>
    <w:rsid w:val="577A195D"/>
    <w:rsid w:val="57FDD7B1"/>
    <w:rsid w:val="59E760EB"/>
    <w:rsid w:val="5AF1689F"/>
    <w:rsid w:val="5B3C1D26"/>
    <w:rsid w:val="5D7776BC"/>
    <w:rsid w:val="5DF90512"/>
    <w:rsid w:val="5E7BB4E0"/>
    <w:rsid w:val="5F944AC0"/>
    <w:rsid w:val="5FDF9EA8"/>
    <w:rsid w:val="5FE883DE"/>
    <w:rsid w:val="5FF60837"/>
    <w:rsid w:val="5FFD66D5"/>
    <w:rsid w:val="5FFF15B1"/>
    <w:rsid w:val="5FFF7E05"/>
    <w:rsid w:val="5FFFDD5D"/>
    <w:rsid w:val="60FF240D"/>
    <w:rsid w:val="648275DD"/>
    <w:rsid w:val="64FF0119"/>
    <w:rsid w:val="65C1575D"/>
    <w:rsid w:val="65D01A13"/>
    <w:rsid w:val="65FF8ED5"/>
    <w:rsid w:val="66F53EF3"/>
    <w:rsid w:val="676FF55F"/>
    <w:rsid w:val="67AFEF76"/>
    <w:rsid w:val="67DAD3FB"/>
    <w:rsid w:val="68C87588"/>
    <w:rsid w:val="693F361E"/>
    <w:rsid w:val="6A7E0AD6"/>
    <w:rsid w:val="6ADD736A"/>
    <w:rsid w:val="6B0C29CC"/>
    <w:rsid w:val="6BEF6ED0"/>
    <w:rsid w:val="6BFB2A62"/>
    <w:rsid w:val="6C7F9869"/>
    <w:rsid w:val="6E1E0155"/>
    <w:rsid w:val="6E7FD3A2"/>
    <w:rsid w:val="6EFFB9EA"/>
    <w:rsid w:val="6F5E47A3"/>
    <w:rsid w:val="6F75F58A"/>
    <w:rsid w:val="6FAD0E27"/>
    <w:rsid w:val="6FD721EB"/>
    <w:rsid w:val="6FEF9C59"/>
    <w:rsid w:val="6FFFC94A"/>
    <w:rsid w:val="700F8FCA"/>
    <w:rsid w:val="715B1665"/>
    <w:rsid w:val="732F39AB"/>
    <w:rsid w:val="737A1DC7"/>
    <w:rsid w:val="73EFAD84"/>
    <w:rsid w:val="73F7BCD4"/>
    <w:rsid w:val="73FF5FEC"/>
    <w:rsid w:val="75254E3B"/>
    <w:rsid w:val="75566E5C"/>
    <w:rsid w:val="759B8A67"/>
    <w:rsid w:val="75FD543E"/>
    <w:rsid w:val="75FE6D42"/>
    <w:rsid w:val="76D076A2"/>
    <w:rsid w:val="777FC440"/>
    <w:rsid w:val="77AFC027"/>
    <w:rsid w:val="77EF8055"/>
    <w:rsid w:val="77FE5655"/>
    <w:rsid w:val="7973A551"/>
    <w:rsid w:val="79E32474"/>
    <w:rsid w:val="79FA5841"/>
    <w:rsid w:val="7AAEDE73"/>
    <w:rsid w:val="7ADB73DE"/>
    <w:rsid w:val="7B7FC685"/>
    <w:rsid w:val="7BD797E2"/>
    <w:rsid w:val="7BDD5D03"/>
    <w:rsid w:val="7C176405"/>
    <w:rsid w:val="7C621E3D"/>
    <w:rsid w:val="7CC97C7A"/>
    <w:rsid w:val="7D7B75A6"/>
    <w:rsid w:val="7DB3D582"/>
    <w:rsid w:val="7DBFB66C"/>
    <w:rsid w:val="7DFB9BDF"/>
    <w:rsid w:val="7E0FB6DB"/>
    <w:rsid w:val="7E5A2870"/>
    <w:rsid w:val="7E5D167D"/>
    <w:rsid w:val="7EBE22B5"/>
    <w:rsid w:val="7EBF83DD"/>
    <w:rsid w:val="7ECDA285"/>
    <w:rsid w:val="7ECF13F1"/>
    <w:rsid w:val="7EE34CC4"/>
    <w:rsid w:val="7EEBA858"/>
    <w:rsid w:val="7EF55A7E"/>
    <w:rsid w:val="7F3E01F7"/>
    <w:rsid w:val="7F3E1475"/>
    <w:rsid w:val="7F571ED5"/>
    <w:rsid w:val="7F72FF9F"/>
    <w:rsid w:val="7F7FD6C9"/>
    <w:rsid w:val="7FB7C67E"/>
    <w:rsid w:val="7FB7E1AD"/>
    <w:rsid w:val="7FB91247"/>
    <w:rsid w:val="7FBB7D92"/>
    <w:rsid w:val="7FBEF848"/>
    <w:rsid w:val="7FD8EB96"/>
    <w:rsid w:val="7FDFCD3F"/>
    <w:rsid w:val="7FE679EA"/>
    <w:rsid w:val="7FEEEDD1"/>
    <w:rsid w:val="7FF5F10C"/>
    <w:rsid w:val="7FF7134D"/>
    <w:rsid w:val="7FFB309A"/>
    <w:rsid w:val="7FFC6805"/>
    <w:rsid w:val="7FFEF70B"/>
    <w:rsid w:val="8CE3016F"/>
    <w:rsid w:val="8E7B8E09"/>
    <w:rsid w:val="9CFCE2DE"/>
    <w:rsid w:val="9E5FB43F"/>
    <w:rsid w:val="9EA60F51"/>
    <w:rsid w:val="9EBE769B"/>
    <w:rsid w:val="9EDF665D"/>
    <w:rsid w:val="9FDB174C"/>
    <w:rsid w:val="9FEB98D4"/>
    <w:rsid w:val="9FFA9BB1"/>
    <w:rsid w:val="A5B9DFA5"/>
    <w:rsid w:val="A87F4437"/>
    <w:rsid w:val="B4F7AE07"/>
    <w:rsid w:val="B71DA037"/>
    <w:rsid w:val="B79F5519"/>
    <w:rsid w:val="B7EF85FB"/>
    <w:rsid w:val="B86115BE"/>
    <w:rsid w:val="B93DC053"/>
    <w:rsid w:val="BABBB8EB"/>
    <w:rsid w:val="BB4F8254"/>
    <w:rsid w:val="BB5F82C5"/>
    <w:rsid w:val="BBC8723B"/>
    <w:rsid w:val="BBE5ADBE"/>
    <w:rsid w:val="BF7E866A"/>
    <w:rsid w:val="BF9D8AB2"/>
    <w:rsid w:val="BFA70BF7"/>
    <w:rsid w:val="BFBCECA2"/>
    <w:rsid w:val="BFDF2DD9"/>
    <w:rsid w:val="BFFDF1C0"/>
    <w:rsid w:val="C5EDF614"/>
    <w:rsid w:val="C77EA0D6"/>
    <w:rsid w:val="C7DA413F"/>
    <w:rsid w:val="CBB31D13"/>
    <w:rsid w:val="CBB7E65F"/>
    <w:rsid w:val="CF6D4C12"/>
    <w:rsid w:val="CF77C3CD"/>
    <w:rsid w:val="D7975DF4"/>
    <w:rsid w:val="D7FB32DD"/>
    <w:rsid w:val="D7FF6DF4"/>
    <w:rsid w:val="D99743EC"/>
    <w:rsid w:val="D9F70D6A"/>
    <w:rsid w:val="DB3F28DD"/>
    <w:rsid w:val="DBED95B5"/>
    <w:rsid w:val="DD47B24B"/>
    <w:rsid w:val="DDB7D671"/>
    <w:rsid w:val="DE632730"/>
    <w:rsid w:val="DEBF3F39"/>
    <w:rsid w:val="DF774B66"/>
    <w:rsid w:val="DF8A28E7"/>
    <w:rsid w:val="DFEB856C"/>
    <w:rsid w:val="DFFC1EB8"/>
    <w:rsid w:val="DFFC6128"/>
    <w:rsid w:val="DFFE8217"/>
    <w:rsid w:val="DFFED007"/>
    <w:rsid w:val="E77FDE4D"/>
    <w:rsid w:val="E7DB6BE3"/>
    <w:rsid w:val="E9FF5E06"/>
    <w:rsid w:val="EA2B46CA"/>
    <w:rsid w:val="EA9F2678"/>
    <w:rsid w:val="ECFFD506"/>
    <w:rsid w:val="EDEFDECA"/>
    <w:rsid w:val="EDF54215"/>
    <w:rsid w:val="EDFE7E2C"/>
    <w:rsid w:val="EDFFB218"/>
    <w:rsid w:val="EECF7A37"/>
    <w:rsid w:val="EEEFEB12"/>
    <w:rsid w:val="EF7BFB3F"/>
    <w:rsid w:val="EF7DEF10"/>
    <w:rsid w:val="EFAFD721"/>
    <w:rsid w:val="EFB3A53E"/>
    <w:rsid w:val="EFBF535B"/>
    <w:rsid w:val="EFEF54A9"/>
    <w:rsid w:val="EFF12197"/>
    <w:rsid w:val="EFF98C89"/>
    <w:rsid w:val="EFF9E2FE"/>
    <w:rsid w:val="EFFD8931"/>
    <w:rsid w:val="F2EA8C47"/>
    <w:rsid w:val="F37EADCB"/>
    <w:rsid w:val="F3AF3D71"/>
    <w:rsid w:val="F3BB0E20"/>
    <w:rsid w:val="F3DBC33D"/>
    <w:rsid w:val="F4A7C83E"/>
    <w:rsid w:val="F56D77C8"/>
    <w:rsid w:val="F5F5FDDD"/>
    <w:rsid w:val="F5F72BA9"/>
    <w:rsid w:val="F69F80E3"/>
    <w:rsid w:val="F6F77EBC"/>
    <w:rsid w:val="F7BEE9DD"/>
    <w:rsid w:val="F7CBCD52"/>
    <w:rsid w:val="F7D32DA1"/>
    <w:rsid w:val="F7FFA2EE"/>
    <w:rsid w:val="F9FBC241"/>
    <w:rsid w:val="FB183058"/>
    <w:rsid w:val="FB35F684"/>
    <w:rsid w:val="FB6E079A"/>
    <w:rsid w:val="FB7F6E29"/>
    <w:rsid w:val="FBBD1F22"/>
    <w:rsid w:val="FBF76F24"/>
    <w:rsid w:val="FC74B35A"/>
    <w:rsid w:val="FCAE77A5"/>
    <w:rsid w:val="FD7703D4"/>
    <w:rsid w:val="FDBF5B35"/>
    <w:rsid w:val="FDDD3FA8"/>
    <w:rsid w:val="FDFDAC12"/>
    <w:rsid w:val="FE7F0B01"/>
    <w:rsid w:val="FEBF3D9C"/>
    <w:rsid w:val="FEF644C9"/>
    <w:rsid w:val="FEF6A4B5"/>
    <w:rsid w:val="FEFE9BD1"/>
    <w:rsid w:val="FF2F0688"/>
    <w:rsid w:val="FF7D1561"/>
    <w:rsid w:val="FF7F26D1"/>
    <w:rsid w:val="FF957CD9"/>
    <w:rsid w:val="FFB77F8B"/>
    <w:rsid w:val="FFBEFDF3"/>
    <w:rsid w:val="FFCADEB4"/>
    <w:rsid w:val="FFDC9236"/>
    <w:rsid w:val="FFE383B7"/>
    <w:rsid w:val="FFEBC673"/>
    <w:rsid w:val="FFEC6100"/>
    <w:rsid w:val="FFEFFCD3"/>
    <w:rsid w:val="FFF7F5D5"/>
    <w:rsid w:val="FFFD6D3E"/>
    <w:rsid w:val="FFFDCFAA"/>
    <w:rsid w:val="FFFE4FE7"/>
    <w:rsid w:val="FFFF46E6"/>
    <w:rsid w:val="FFFF7A9C"/>
    <w:rsid w:val="FFFFB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16"/>
    <w:qFormat/>
    <w:uiPriority w:val="99"/>
    <w:p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6"/>
    <w:qFormat/>
    <w:uiPriority w:val="0"/>
  </w:style>
  <w:style w:type="paragraph" w:styleId="10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4 字符"/>
    <w:link w:val="2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标题 2 字符"/>
    <w:link w:val="3"/>
    <w:qFormat/>
    <w:uiPriority w:val="0"/>
    <w:rPr>
      <w:rFonts w:hint="default" w:ascii="Calibri Light" w:hAnsi="Calibri Light" w:eastAsia="Calibri Light" w:cs="Calibri Light"/>
      <w:b/>
      <w:bCs/>
      <w:kern w:val="2"/>
      <w:sz w:val="32"/>
      <w:szCs w:val="32"/>
    </w:rPr>
  </w:style>
  <w:style w:type="character" w:customStyle="1" w:styleId="18">
    <w:name w:val="标题 3 字符"/>
    <w:link w:val="4"/>
    <w:qFormat/>
    <w:uiPriority w:val="0"/>
    <w:rPr>
      <w:rFonts w:hint="default" w:ascii="Calibri" w:hAnsi="Calibri" w:cs="Calibri"/>
      <w:b/>
      <w:bCs/>
      <w:kern w:val="2"/>
      <w:sz w:val="32"/>
      <w:szCs w:val="32"/>
    </w:rPr>
  </w:style>
  <w:style w:type="character" w:customStyle="1" w:styleId="19">
    <w:name w:val="页脚 字符"/>
    <w:link w:val="7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0">
    <w:name w:val="默认段落字体1"/>
    <w:qFormat/>
    <w:uiPriority w:val="0"/>
  </w:style>
  <w:style w:type="paragraph" w:customStyle="1" w:styleId="21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4205</Words>
  <Characters>4452</Characters>
  <Lines>9</Lines>
  <Paragraphs>10</Paragraphs>
  <TotalTime>30</TotalTime>
  <ScaleCrop>false</ScaleCrop>
  <LinksUpToDate>false</LinksUpToDate>
  <CharactersWithSpaces>4676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2018-12-06T17:47:00Z</dcterms:created>
  <dc:creator>set</dc:creator>
  <cp:lastModifiedBy>luca</cp:lastModifiedBy>
  <cp:lastPrinted>2024-12-17T06:21:00Z</cp:lastPrinted>
  <dcterms:modified xsi:type="dcterms:W3CDTF">2024-12-16T18:38:14Z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F83E59083FBBBEC5FF026067F3C16030_43</vt:lpwstr>
  </property>
</Properties>
</file>