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 w:cs="黑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北京住房公积金管理</w:t>
      </w:r>
      <w:r>
        <w:rPr>
          <w:rFonts w:ascii="方正小标宋简体" w:eastAsia="方正小标宋简体" w:cs="黑体"/>
          <w:sz w:val="44"/>
          <w:szCs w:val="44"/>
        </w:rPr>
        <w:t>中心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 w:cs="黑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会计服务费（绩效服务）项目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情况及报名材料要求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</w:p>
    <w:p>
      <w:pPr>
        <w:pStyle w:val="3"/>
        <w:spacing w:before="0" w:after="0"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lang w:val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lang w:val="zh-CN"/>
        </w:rPr>
        <w:t>一、服务内容及目标</w:t>
      </w:r>
    </w:p>
    <w:p>
      <w:pPr>
        <w:pStyle w:val="4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lang w:val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zh-CN"/>
        </w:rPr>
        <w:t>（一）服务内容</w:t>
      </w:r>
    </w:p>
    <w:p>
      <w:pPr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1.绩效评价及监控结果复核。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协助公积金中心开展202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年项目绩效评价、202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年部门整体支出绩效运行监控，并对评价结果和监控结果进行复核。其中：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年所有项目（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sz w:val="32"/>
          <w:szCs w:val="32"/>
        </w:rPr>
        <w:t>个项目）绩效自评、202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年部门整体绩效评价、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部门重点项目绩效评价，最迟于202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年5月底前完成。绩效运行监控范围为部门202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年上半年预算执行情况，202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年8月底前完成。</w:t>
      </w:r>
    </w:p>
    <w:p>
      <w:pPr>
        <w:spacing w:line="560" w:lineRule="exact"/>
        <w:ind w:firstLine="640" w:firstLineChars="200"/>
        <w:contextualSpacing/>
        <w:jc w:val="left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2.项目成本绩效分析。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协助公积金中心完成一个项目的成本绩效分析，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年8月底前完成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3.项目绩效目标表审核及辅导。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年追加项目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项目绩效目标表进行辅导审核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年10月底前完成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4.项目事前绩效评估和预算评审。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年追加项目和申报202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预算评审和事前绩效评估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最迟于202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年10月底前完成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在服务期间应完成本项目可能涉及到的相关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eastAsia="zh-CN"/>
        </w:rPr>
        <w:t>培训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及咨询服务。</w:t>
      </w:r>
    </w:p>
    <w:p>
      <w:pPr>
        <w:spacing w:line="560" w:lineRule="exact"/>
        <w:ind w:firstLine="640" w:firstLineChars="200"/>
        <w:contextualSpacing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eastAsia="zh-CN"/>
        </w:rPr>
        <w:t>以上工作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具体完成时间由公积金中心根据市财政局的要求确定。</w:t>
      </w:r>
    </w:p>
    <w:p>
      <w:pPr>
        <w:pStyle w:val="4"/>
        <w:spacing w:before="0" w:after="0"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lang w:val="zh-CN"/>
        </w:rPr>
      </w:pPr>
      <w:r>
        <w:rPr>
          <w:rFonts w:hint="eastAsia" w:ascii="楷体_GB2312" w:hAnsi="楷体_GB2312" w:eastAsia="楷体_GB2312" w:cs="楷体_GB2312"/>
          <w:b w:val="0"/>
          <w:bCs w:val="0"/>
          <w:lang w:val="zh-CN"/>
        </w:rPr>
        <w:t>（二）项目目标</w:t>
      </w:r>
    </w:p>
    <w:p>
      <w:pPr>
        <w:tabs>
          <w:tab w:val="left" w:pos="735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通过预算绩效管理工作，深化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公积金中心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全过程预算绩效管理，促进部门提升成本绩效意识，提高预算执行效率和资金使用效益。同时充分利用会计师事务所专业能力，针对公积金中心的实际情况优化绩效管理程序，提升绩效管理水平。</w:t>
      </w:r>
    </w:p>
    <w:p>
      <w:pPr>
        <w:numPr>
          <w:ilvl w:val="0"/>
          <w:numId w:val="2"/>
        </w:numPr>
        <w:tabs>
          <w:tab w:val="left" w:pos="735"/>
        </w:tabs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比选资料及要求</w:t>
      </w:r>
    </w:p>
    <w:p>
      <w:pPr>
        <w:tabs>
          <w:tab w:val="left" w:pos="735"/>
        </w:tabs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）比选资料</w:t>
      </w:r>
    </w:p>
    <w:p>
      <w:pPr>
        <w:tabs>
          <w:tab w:val="left" w:pos="735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供公积金中心评审小组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需涵盖以下事项：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1.报价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提供服务的项目报价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会计师事务所资质证明：包括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载有社会统一信用代码的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会计师事务所执业许可证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、在“信用中国”网站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查询</w:t>
      </w:r>
      <w:r>
        <w:rPr>
          <w:rFonts w:hint="eastAsia" w:ascii="仿宋_GB2312" w:hAnsi="仿宋_GB2312" w:eastAsia="仿宋_GB2312" w:cs="仿宋_GB2312"/>
          <w:sz w:val="32"/>
          <w:szCs w:val="32"/>
        </w:rPr>
        <w:t>失信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被执行人、重大税收违法案件当事人、政府采购严重违法失信行为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记录截图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、在财政部预算绩效评价第三方机构信用管理平台登记信息（含参加本次服务的主评人及工作人员信息）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会计师事务所基本情况：会计师事务所概况、组织结构、机构人员规模及注册会计师人数等；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提供近三年绩效服务的行政机关、事业单位名单，并附合同首页及签字盖章页复印件；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会计师事务所曾获荣誉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财政部门认定的绩效服务优秀案例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及绩效服务项目用户满意度调查材料。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近三年市财政局会计评估监督检查结果和行政处罚情况。</w:t>
      </w:r>
    </w:p>
    <w:p>
      <w:pPr>
        <w:autoSpaceDE w:val="0"/>
        <w:autoSpaceDN w:val="0"/>
        <w:adjustRightInd w:val="0"/>
        <w:spacing w:line="560" w:lineRule="exact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服务团队基本情况：服务团队时间安排和人员投入等基本情况，并附项目组现场负责人及核心工作人员简历表及资格证书等其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他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背景材料（如：项目负责人同类项目业绩、专业资质证书、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项目负责人年限等，工作人员资质或职称证书等）；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近三年项目负责人及服务团队人员参加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行政机关、事业单位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绩效服务工作情况，及各项工作的政策参考依据。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公积金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2026年绩效工作，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提出切实可行的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工作的方案、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流程进度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（应包含新增项目事前绩效评估及预算评审工作天数、并明确各服务事项的承诺完成时间）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质量保障措施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、培训与咨询计划等。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工作的风险控制及保密措施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35"/>
        </w:tabs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）比选资料要求</w:t>
      </w:r>
    </w:p>
    <w:p>
      <w:pPr>
        <w:tabs>
          <w:tab w:val="left" w:pos="735"/>
        </w:tabs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比选资料应加盖会计师事务所公章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4E9B10"/>
    <w:multiLevelType w:val="singleLevel"/>
    <w:tmpl w:val="CF4E9B1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E3F1BF"/>
    <w:multiLevelType w:val="multilevel"/>
    <w:tmpl w:val="5BE3F1B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/>
        <w:u w:val="none" w:color="auto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default"/>
        <w:u w:val="none" w:color="auto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default"/>
        <w:u w:val="none" w:color="auto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-402" w:firstLine="402"/>
      </w:pPr>
      <w:rPr>
        <w:rFonts w:hint="default"/>
        <w:u w:val="none" w:color="auto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default"/>
        <w:u w:val="none" w:color="auto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default"/>
        <w:u w:val="none" w:color="auto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default"/>
        <w:u w:val="none" w:color="auto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default"/>
        <w:u w:val="none" w:color="auto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default"/>
        <w:u w:val="none" w:color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E3206"/>
    <w:rsid w:val="000B08C7"/>
    <w:rsid w:val="000F5D90"/>
    <w:rsid w:val="00113B24"/>
    <w:rsid w:val="00196956"/>
    <w:rsid w:val="00277BDE"/>
    <w:rsid w:val="002A5473"/>
    <w:rsid w:val="002F5C69"/>
    <w:rsid w:val="003C00AC"/>
    <w:rsid w:val="00447CE3"/>
    <w:rsid w:val="004D0B73"/>
    <w:rsid w:val="004D0F90"/>
    <w:rsid w:val="004F27B7"/>
    <w:rsid w:val="00510EB1"/>
    <w:rsid w:val="00535F9D"/>
    <w:rsid w:val="005946E1"/>
    <w:rsid w:val="005C4EA9"/>
    <w:rsid w:val="005D143B"/>
    <w:rsid w:val="00684987"/>
    <w:rsid w:val="006D5E48"/>
    <w:rsid w:val="006D7042"/>
    <w:rsid w:val="00776EED"/>
    <w:rsid w:val="007C72F8"/>
    <w:rsid w:val="008773A5"/>
    <w:rsid w:val="009362D6"/>
    <w:rsid w:val="009755E1"/>
    <w:rsid w:val="00983F7F"/>
    <w:rsid w:val="009B1969"/>
    <w:rsid w:val="00A15CAA"/>
    <w:rsid w:val="00A21755"/>
    <w:rsid w:val="00A37030"/>
    <w:rsid w:val="00B54A2E"/>
    <w:rsid w:val="00B6164B"/>
    <w:rsid w:val="00C144E2"/>
    <w:rsid w:val="00CA439A"/>
    <w:rsid w:val="00CE37CD"/>
    <w:rsid w:val="00D42EE8"/>
    <w:rsid w:val="00D5676C"/>
    <w:rsid w:val="00D61D58"/>
    <w:rsid w:val="00D71150"/>
    <w:rsid w:val="00DA07BD"/>
    <w:rsid w:val="00E44540"/>
    <w:rsid w:val="00E76125"/>
    <w:rsid w:val="00E92C1A"/>
    <w:rsid w:val="09D91112"/>
    <w:rsid w:val="13BF35C5"/>
    <w:rsid w:val="1A4DB09B"/>
    <w:rsid w:val="1EF90823"/>
    <w:rsid w:val="275469FF"/>
    <w:rsid w:val="27FB2FC9"/>
    <w:rsid w:val="289FA4EF"/>
    <w:rsid w:val="3A176469"/>
    <w:rsid w:val="3E2776A0"/>
    <w:rsid w:val="3F171F48"/>
    <w:rsid w:val="3F7F9F57"/>
    <w:rsid w:val="3FBF24CD"/>
    <w:rsid w:val="45FF0FB8"/>
    <w:rsid w:val="55FEE307"/>
    <w:rsid w:val="57FAD5B9"/>
    <w:rsid w:val="5EBFF265"/>
    <w:rsid w:val="5F2F8332"/>
    <w:rsid w:val="5F6AD0A5"/>
    <w:rsid w:val="5FBBAD07"/>
    <w:rsid w:val="67B76F25"/>
    <w:rsid w:val="6BFB8E39"/>
    <w:rsid w:val="6EB75F1D"/>
    <w:rsid w:val="6EFA45EC"/>
    <w:rsid w:val="6FEFBE2E"/>
    <w:rsid w:val="734FE9FD"/>
    <w:rsid w:val="75FB6173"/>
    <w:rsid w:val="75FB8A24"/>
    <w:rsid w:val="76D5E32A"/>
    <w:rsid w:val="7757D9AF"/>
    <w:rsid w:val="7AA9F24B"/>
    <w:rsid w:val="7D6ED940"/>
    <w:rsid w:val="7DB94128"/>
    <w:rsid w:val="7EEADEC5"/>
    <w:rsid w:val="7EF788A6"/>
    <w:rsid w:val="7F7FF987"/>
    <w:rsid w:val="7FCE2644"/>
    <w:rsid w:val="7FFCDCE8"/>
    <w:rsid w:val="8AF776AB"/>
    <w:rsid w:val="9EEA3A03"/>
    <w:rsid w:val="BA7662F3"/>
    <w:rsid w:val="BBFD4ECF"/>
    <w:rsid w:val="BEB731E3"/>
    <w:rsid w:val="BEEFDD0F"/>
    <w:rsid w:val="CF5F6B1D"/>
    <w:rsid w:val="CFB72B00"/>
    <w:rsid w:val="CFD7CE19"/>
    <w:rsid w:val="D9BDAC8F"/>
    <w:rsid w:val="DFBF5509"/>
    <w:rsid w:val="EFEB132D"/>
    <w:rsid w:val="EFED7D83"/>
    <w:rsid w:val="F3D9560C"/>
    <w:rsid w:val="F3FF9565"/>
    <w:rsid w:val="F6FF9A07"/>
    <w:rsid w:val="F7DE1AAF"/>
    <w:rsid w:val="F7DE3206"/>
    <w:rsid w:val="F7FC1159"/>
    <w:rsid w:val="F9FD9CB3"/>
    <w:rsid w:val="FBFDF1A5"/>
    <w:rsid w:val="FC7B04A3"/>
    <w:rsid w:val="FDF4800B"/>
    <w:rsid w:val="FDFACA92"/>
    <w:rsid w:val="FE5BF1C0"/>
    <w:rsid w:val="FF79BB30"/>
    <w:rsid w:val="FFDD4B2E"/>
    <w:rsid w:val="FFDDCBF0"/>
    <w:rsid w:val="FFDFBB3D"/>
    <w:rsid w:val="FFEB0BBA"/>
    <w:rsid w:val="FFEE0318"/>
    <w:rsid w:val="FFEFDD80"/>
    <w:rsid w:val="FFF59B7C"/>
    <w:rsid w:val="FFFE5A11"/>
    <w:rsid w:val="FFFF5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uppressAutoHyphens/>
      <w:bidi w:val="0"/>
      <w:spacing w:before="280" w:beforeLines="0" w:after="290" w:afterLines="0" w:line="372" w:lineRule="auto"/>
      <w:ind w:firstLine="402"/>
      <w:outlineLvl w:val="3"/>
    </w:pPr>
    <w:rPr>
      <w:rFonts w:hint="default" w:ascii="Arial" w:hAnsi="Arial" w:eastAsia="黑体" w:cs="Times New Roman"/>
      <w:b/>
      <w:color w:val="auto"/>
      <w:sz w:val="28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批注框文本 Char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676</Words>
  <Characters>3857</Characters>
  <Lines>32</Lines>
  <Paragraphs>9</Paragraphs>
  <TotalTime>7</TotalTime>
  <ScaleCrop>false</ScaleCrop>
  <LinksUpToDate>false</LinksUpToDate>
  <CharactersWithSpaces>4524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2023-02-07T18:03:00Z</dcterms:created>
  <dc:creator>test</dc:creator>
  <cp:lastModifiedBy>艾明欣</cp:lastModifiedBy>
  <cp:lastPrinted>2025-12-24T01:41:00Z</cp:lastPrinted>
  <dcterms:modified xsi:type="dcterms:W3CDTF">2026-03-02T09:28:23Z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C98E38E46EF462BF51E4A46949973515</vt:lpwstr>
  </property>
</Properties>
</file>